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7CEA29">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ascii="宋体" w:hAnsi="宋体" w:eastAsia="宋体" w:cs="宋体"/>
          <w:b/>
          <w:i w:val="0"/>
          <w:caps w:val="0"/>
          <w:color w:val="393939"/>
          <w:spacing w:val="0"/>
          <w:sz w:val="72"/>
          <w:szCs w:val="72"/>
          <w:shd w:val="clear" w:fill="FFFFFF"/>
        </w:rPr>
        <w:t>福建省政府采购</w:t>
      </w:r>
    </w:p>
    <w:p w14:paraId="24FF46A3">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货物和服务项目</w:t>
      </w:r>
    </w:p>
    <w:p w14:paraId="649B2154">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公开招标文件</w:t>
      </w:r>
    </w:p>
    <w:p w14:paraId="5A937E04">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72"/>
          <w:szCs w:val="72"/>
          <w:shd w:val="clear" w:fill="FFFFFF"/>
        </w:rPr>
        <w:t>     </w:t>
      </w:r>
    </w:p>
    <w:p w14:paraId="6A214B24">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71AD82AA">
      <w:pPr>
        <w:pStyle w:val="5"/>
        <w:keepNext w:val="0"/>
        <w:keepLines w:val="0"/>
        <w:widowControl/>
        <w:suppressLineNumbers w:val="0"/>
        <w:shd w:val="clear" w:fill="FFFFFF"/>
        <w:spacing w:before="75" w:beforeAutospacing="0" w:after="75" w:afterAutospacing="0"/>
        <w:ind w:right="0" w:firstLine="1506" w:firstLineChars="500"/>
        <w:rPr>
          <w:rStyle w:val="8"/>
          <w:rFonts w:hint="eastAsia" w:ascii="宋体" w:hAnsi="宋体" w:eastAsia="宋体" w:cs="宋体"/>
          <w:b/>
          <w:i w:val="0"/>
          <w:caps w:val="0"/>
          <w:color w:val="393939"/>
          <w:spacing w:val="0"/>
          <w:sz w:val="30"/>
          <w:szCs w:val="30"/>
          <w:shd w:val="clear" w:fill="FFFFFF"/>
        </w:rPr>
      </w:pPr>
      <w:r>
        <w:rPr>
          <w:rStyle w:val="8"/>
          <w:rFonts w:hint="eastAsia" w:ascii="宋体" w:hAnsi="宋体" w:eastAsia="宋体" w:cs="宋体"/>
          <w:b/>
          <w:i w:val="0"/>
          <w:caps w:val="0"/>
          <w:color w:val="393939"/>
          <w:spacing w:val="0"/>
          <w:sz w:val="30"/>
          <w:szCs w:val="30"/>
          <w:shd w:val="clear" w:fill="FFFFFF"/>
        </w:rPr>
        <w:t>项目名称：福建省粮食和物资储备局</w:t>
      </w:r>
    </w:p>
    <w:p w14:paraId="79E45755">
      <w:pPr>
        <w:pStyle w:val="5"/>
        <w:keepNext w:val="0"/>
        <w:keepLines w:val="0"/>
        <w:widowControl/>
        <w:suppressLineNumbers w:val="0"/>
        <w:shd w:val="clear" w:fill="FFFFFF"/>
        <w:spacing w:before="75" w:beforeAutospacing="0" w:after="75" w:afterAutospacing="0"/>
        <w:ind w:right="0" w:firstLine="3012" w:firstLineChars="10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省本级救灾物资采购项目</w:t>
      </w:r>
    </w:p>
    <w:p w14:paraId="5A51AB4B">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57EAC05B">
      <w:pPr>
        <w:pStyle w:val="5"/>
        <w:keepNext w:val="0"/>
        <w:keepLines w:val="0"/>
        <w:widowControl/>
        <w:suppressLineNumbers w:val="0"/>
        <w:shd w:val="clear" w:fill="FFFFFF"/>
        <w:spacing w:before="75" w:beforeAutospacing="0" w:after="75" w:afterAutospacing="0"/>
        <w:ind w:right="0" w:firstLine="1506" w:firstLineChars="5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备案编号：K-LSJ-GK-201907-B0498-GK</w:t>
      </w:r>
    </w:p>
    <w:p w14:paraId="57302755">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27E2BBBD">
      <w:pPr>
        <w:pStyle w:val="5"/>
        <w:keepNext w:val="0"/>
        <w:keepLines w:val="0"/>
        <w:widowControl/>
        <w:suppressLineNumbers w:val="0"/>
        <w:shd w:val="clear" w:fill="FFFFFF"/>
        <w:spacing w:before="75" w:beforeAutospacing="0" w:after="75" w:afterAutospacing="0"/>
        <w:ind w:right="0" w:firstLine="1506" w:firstLineChars="500"/>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30"/>
          <w:szCs w:val="30"/>
          <w:shd w:val="clear" w:fill="FFFFFF"/>
        </w:rPr>
        <w:t>招标编号：[3500]GK[GK]2019003</w:t>
      </w:r>
      <w:r>
        <w:rPr>
          <w:rStyle w:val="8"/>
          <w:rFonts w:hint="eastAsia" w:ascii="宋体" w:hAnsi="宋体" w:eastAsia="宋体" w:cs="宋体"/>
          <w:b/>
          <w:i w:val="0"/>
          <w:caps w:val="0"/>
          <w:color w:val="393939"/>
          <w:spacing w:val="0"/>
          <w:sz w:val="30"/>
          <w:szCs w:val="30"/>
          <w:shd w:val="clear" w:fill="FFFFFF"/>
        </w:rPr>
        <w:br w:type="textWrapping"/>
      </w:r>
      <w:r>
        <w:rPr>
          <w:rStyle w:val="8"/>
          <w:rFonts w:hint="eastAsia" w:ascii="宋体" w:hAnsi="宋体" w:eastAsia="宋体" w:cs="宋体"/>
          <w:b/>
          <w:i w:val="0"/>
          <w:caps w:val="0"/>
          <w:color w:val="393939"/>
          <w:spacing w:val="0"/>
          <w:sz w:val="30"/>
          <w:szCs w:val="30"/>
          <w:shd w:val="clear" w:fill="FFFFFF"/>
        </w:rPr>
        <w:t>                   </w:t>
      </w:r>
    </w:p>
    <w:p w14:paraId="077100B1">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0BE0D9C5">
      <w:pPr>
        <w:keepNext w:val="0"/>
        <w:keepLines w:val="0"/>
        <w:widowControl/>
        <w:suppressLineNumbers w:val="0"/>
        <w:jc w:val="left"/>
      </w:pPr>
      <w:r>
        <w:rPr>
          <w:rFonts w:hint="eastAsia" w:ascii="微软雅黑" w:hAnsi="微软雅黑" w:eastAsia="微软雅黑" w:cs="微软雅黑"/>
          <w:i w:val="0"/>
          <w:caps w:val="0"/>
          <w:color w:val="393939"/>
          <w:spacing w:val="0"/>
          <w:kern w:val="0"/>
          <w:sz w:val="19"/>
          <w:szCs w:val="19"/>
          <w:shd w:val="clear" w:fill="FFFFFF"/>
          <w:lang w:val="en-US" w:eastAsia="zh-CN" w:bidi="ar"/>
        </w:rPr>
        <w:t> </w:t>
      </w:r>
    </w:p>
    <w:p w14:paraId="36A383C7">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r>
        <w:rPr>
          <w:rStyle w:val="8"/>
          <w:rFonts w:hint="eastAsia" w:ascii="宋体" w:hAnsi="宋体" w:eastAsia="宋体" w:cs="宋体"/>
          <w:b/>
          <w:i w:val="0"/>
          <w:caps w:val="0"/>
          <w:color w:val="393939"/>
          <w:spacing w:val="0"/>
          <w:sz w:val="27"/>
          <w:szCs w:val="27"/>
          <w:shd w:val="clear" w:fill="FFFFFF"/>
        </w:rPr>
        <w:t>采购人：</w:t>
      </w:r>
      <w:r>
        <w:rPr>
          <w:rFonts w:hint="eastAsia" w:ascii="微软雅黑" w:hAnsi="微软雅黑" w:eastAsia="微软雅黑" w:cs="微软雅黑"/>
          <w:i w:val="0"/>
          <w:caps w:val="0"/>
          <w:color w:val="393939"/>
          <w:spacing w:val="0"/>
          <w:sz w:val="27"/>
          <w:szCs w:val="27"/>
          <w:shd w:val="clear" w:fill="FFFFFF"/>
        </w:rPr>
        <w:t> </w:t>
      </w:r>
      <w:r>
        <w:rPr>
          <w:rStyle w:val="8"/>
          <w:rFonts w:hint="eastAsia" w:ascii="宋体" w:hAnsi="宋体" w:eastAsia="宋体" w:cs="宋体"/>
          <w:b/>
          <w:i w:val="0"/>
          <w:caps w:val="0"/>
          <w:color w:val="393939"/>
          <w:spacing w:val="0"/>
          <w:sz w:val="28"/>
          <w:szCs w:val="28"/>
          <w:shd w:val="clear" w:fill="FFFFFF"/>
        </w:rPr>
        <w:t>福建省粮食和物资储备局</w:t>
      </w:r>
    </w:p>
    <w:p w14:paraId="54903F6B">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28"/>
          <w:szCs w:val="28"/>
          <w:shd w:val="clear" w:fill="FFFFFF"/>
        </w:rPr>
        <w:t>代理机构：福建省顺鑫招标代理有限公司</w:t>
      </w:r>
    </w:p>
    <w:p w14:paraId="08F54173">
      <w:pPr>
        <w:pStyle w:val="5"/>
        <w:keepNext w:val="0"/>
        <w:keepLines w:val="0"/>
        <w:widowControl/>
        <w:suppressLineNumbers w:val="0"/>
        <w:shd w:val="clear" w:fill="FFFFFF"/>
        <w:spacing w:before="75" w:beforeAutospacing="0" w:after="75" w:afterAutospacing="0"/>
        <w:ind w:left="0" w:right="0" w:firstLine="0"/>
        <w:jc w:val="center"/>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7"/>
          <w:szCs w:val="27"/>
          <w:shd w:val="clear" w:fill="FFFFFF"/>
        </w:rPr>
        <w:t> </w:t>
      </w:r>
    </w:p>
    <w:p w14:paraId="11E23C05">
      <w:pPr>
        <w:pStyle w:val="5"/>
        <w:keepNext w:val="0"/>
        <w:keepLines w:val="0"/>
        <w:widowControl/>
        <w:suppressLineNumbers w:val="0"/>
        <w:shd w:val="clear" w:fill="FFFFFF"/>
        <w:spacing w:before="75" w:beforeAutospacing="0" w:after="75" w:afterAutospacing="0" w:line="360" w:lineRule="atLeast"/>
        <w:ind w:left="0" w:right="720" w:firstLine="0"/>
        <w:jc w:val="center"/>
        <w:rPr>
          <w:rFonts w:hint="eastAsia" w:ascii="微软雅黑" w:hAnsi="微软雅黑" w:eastAsia="微软雅黑" w:cs="微软雅黑"/>
          <w:i w:val="0"/>
          <w:caps w:val="0"/>
          <w:color w:val="393939"/>
          <w:spacing w:val="0"/>
          <w:sz w:val="19"/>
          <w:szCs w:val="19"/>
        </w:rPr>
      </w:pPr>
      <w:r>
        <w:rPr>
          <w:rStyle w:val="8"/>
          <w:rFonts w:hint="eastAsia" w:ascii="宋体" w:hAnsi="宋体" w:eastAsia="宋体" w:cs="宋体"/>
          <w:b/>
          <w:i w:val="0"/>
          <w:caps w:val="0"/>
          <w:color w:val="393939"/>
          <w:spacing w:val="0"/>
          <w:sz w:val="28"/>
          <w:szCs w:val="28"/>
          <w:shd w:val="clear" w:fill="FFFFFF"/>
        </w:rPr>
        <w:t>2019年07月</w:t>
      </w:r>
    </w:p>
    <w:p w14:paraId="28E7DFEA">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第一章</w:t>
      </w:r>
      <w:r>
        <w:rPr>
          <w:rStyle w:val="8"/>
          <w:b/>
          <w:spacing w:val="0"/>
          <w:sz w:val="31"/>
          <w:szCs w:val="31"/>
        </w:rPr>
        <w:t>   </w:t>
      </w:r>
      <w:r>
        <w:rPr>
          <w:rStyle w:val="8"/>
          <w:rFonts w:hint="eastAsia" w:ascii="宋体" w:hAnsi="宋体" w:eastAsia="宋体" w:cs="宋体"/>
          <w:b/>
          <w:spacing w:val="0"/>
          <w:sz w:val="31"/>
          <w:szCs w:val="31"/>
        </w:rPr>
        <w:t>投标邀请</w:t>
      </w:r>
    </w:p>
    <w:p w14:paraId="0938D1E9">
      <w:pPr>
        <w:pStyle w:val="5"/>
        <w:keepNext w:val="0"/>
        <w:keepLines w:val="0"/>
        <w:widowControl/>
        <w:suppressLineNumbers w:val="0"/>
        <w:spacing w:before="75" w:beforeAutospacing="0" w:after="75" w:afterAutospacing="0"/>
        <w:ind w:left="0" w:right="0" w:firstLine="0"/>
      </w:pPr>
      <w:r>
        <w:rPr>
          <w:spacing w:val="0"/>
          <w:sz w:val="24"/>
          <w:szCs w:val="24"/>
        </w:rPr>
        <w:t> </w:t>
      </w:r>
    </w:p>
    <w:p w14:paraId="13AAE2B3">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采用</w:t>
      </w:r>
      <w:r>
        <w:rPr>
          <w:rFonts w:hint="eastAsia" w:ascii="宋体" w:hAnsi="宋体" w:eastAsia="宋体" w:cs="宋体"/>
          <w:spacing w:val="0"/>
          <w:sz w:val="24"/>
          <w:szCs w:val="24"/>
          <w:u w:val="single"/>
        </w:rPr>
        <w:t>公开招标方式</w:t>
      </w:r>
      <w:r>
        <w:rPr>
          <w:rFonts w:hint="eastAsia" w:ascii="宋体" w:hAnsi="宋体" w:eastAsia="宋体" w:cs="宋体"/>
          <w:spacing w:val="0"/>
          <w:sz w:val="24"/>
          <w:szCs w:val="24"/>
        </w:rPr>
        <w:t>组织</w:t>
      </w:r>
      <w:r>
        <w:rPr>
          <w:rFonts w:hint="eastAsia" w:ascii="宋体" w:hAnsi="宋体" w:eastAsia="宋体" w:cs="宋体"/>
          <w:spacing w:val="0"/>
          <w:sz w:val="24"/>
          <w:szCs w:val="24"/>
          <w:u w:val="none"/>
        </w:rPr>
        <w:t>福建省粮食和物资储备局省本级救灾物资采购项目</w:t>
      </w:r>
      <w:r>
        <w:rPr>
          <w:rFonts w:hint="eastAsia" w:ascii="宋体" w:hAnsi="宋体" w:eastAsia="宋体" w:cs="宋体"/>
          <w:spacing w:val="0"/>
          <w:sz w:val="24"/>
          <w:szCs w:val="24"/>
        </w:rPr>
        <w:t>（以下简称：“本项目”）的政府采购活动，现邀请供应商参加投标。</w:t>
      </w:r>
    </w:p>
    <w:p w14:paraId="3C5B653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1、备案编号：</w:t>
      </w:r>
      <w:r>
        <w:rPr>
          <w:rFonts w:hint="eastAsia" w:ascii="宋体" w:hAnsi="宋体" w:eastAsia="宋体" w:cs="宋体"/>
          <w:spacing w:val="0"/>
          <w:sz w:val="24"/>
          <w:szCs w:val="24"/>
          <w:u w:val="single"/>
        </w:rPr>
        <w:t>K-LSJ-GK-201907-B0498-GK</w:t>
      </w:r>
      <w:r>
        <w:rPr>
          <w:rFonts w:hint="eastAsia" w:ascii="宋体" w:hAnsi="宋体" w:eastAsia="宋体" w:cs="宋体"/>
          <w:spacing w:val="0"/>
          <w:sz w:val="24"/>
          <w:szCs w:val="24"/>
        </w:rPr>
        <w:t>。</w:t>
      </w:r>
    </w:p>
    <w:p w14:paraId="64AA02D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2、招标编号：</w:t>
      </w:r>
      <w:r>
        <w:rPr>
          <w:rFonts w:hint="eastAsia" w:ascii="宋体" w:hAnsi="宋体" w:eastAsia="宋体" w:cs="宋体"/>
          <w:spacing w:val="0"/>
          <w:sz w:val="24"/>
          <w:szCs w:val="24"/>
          <w:u w:val="single"/>
        </w:rPr>
        <w:t>[3500]GK[GK]2019003</w:t>
      </w:r>
      <w:r>
        <w:rPr>
          <w:rFonts w:hint="eastAsia" w:ascii="宋体" w:hAnsi="宋体" w:eastAsia="宋体" w:cs="宋体"/>
          <w:spacing w:val="0"/>
          <w:sz w:val="24"/>
          <w:szCs w:val="24"/>
        </w:rPr>
        <w:t>。</w:t>
      </w:r>
    </w:p>
    <w:p w14:paraId="2802DC9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3、预算金额、最高限价：详见《采购标的一览表》。</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4、招标内容及要求：详见《采购标的一览表》及招标文件第五章。</w:t>
      </w:r>
    </w:p>
    <w:p w14:paraId="42D1EF8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5、需要落实的政府采购政策：进口产品，不适用于本项目。节能产品，适用于（合同包1-7），按照递交投标文件截止时间前最新一期节能清单执行。环境标志产品，适用于（合同包1-7），按照递交投标文件截止时间前最新一期环境标志清单执行。信息安全产品，适用于（合同包1-7）。小型、微型企业，适用于（合同包1-7）。监狱企业，适用于（合同包1-7）。促进残疾人就业 ，适用于（合同包1-7）。信用记录，适用于（合同包1-7），按照下列规定执行：（1）投标人应在（递交投标文件截止时间）前分别通过“信用中国”网站（www.creditchina.gov.cn）、中国政府采购网（www.ccgp.gov.cn）查询并打印相应的信用记录（以下简称：“投标人提供的查询结果”），投标人提供的查询结果应为其通过上述网站获取的信用信息查询结果原始页面的打印件（或截图）。（2）查询结果的审查：①由资格审查小组通过上述网站查询并打印投标人信用记录（以下简称：“资格审查小组的查询结果”）。②投标人提供的查询结果与资格审查小组的查询结果不一致的，以资格审查小组的查询结果为准。③因上述网站原因导致资格审查小组无法查询投标人信用记录的（资格审查小组应将通过上述网站查询投标人信用记录时的原始页面打印后随采购文件一并存档），以投标人提供的查询结果为准。④查询结果存在投标人应被拒绝参与政府采购活动相关信息的，其资格审查不合格。</w:t>
      </w:r>
    </w:p>
    <w:p w14:paraId="27110C4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6、投标人的资格要求</w:t>
      </w:r>
    </w:p>
    <w:p w14:paraId="313F9B06">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Fonts w:hint="eastAsia" w:ascii="宋体" w:hAnsi="宋体" w:eastAsia="宋体" w:cs="宋体"/>
          <w:spacing w:val="0"/>
          <w:sz w:val="24"/>
          <w:szCs w:val="24"/>
        </w:rPr>
        <w:t>6.1法定条件：符合政府采购法第二十二条第一款规定的条件。</w:t>
      </w:r>
    </w:p>
    <w:p w14:paraId="3D32623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rPr>
          <w:rFonts w:hint="eastAsia" w:ascii="宋体" w:hAnsi="宋体" w:eastAsia="宋体" w:cs="宋体"/>
          <w:spacing w:val="0"/>
          <w:sz w:val="24"/>
          <w:szCs w:val="24"/>
        </w:rPr>
      </w:pPr>
      <w:r>
        <w:rPr>
          <w:rFonts w:hint="eastAsia" w:ascii="宋体" w:hAnsi="宋体" w:eastAsia="宋体" w:cs="宋体"/>
          <w:spacing w:val="0"/>
          <w:sz w:val="24"/>
          <w:szCs w:val="24"/>
        </w:rPr>
        <w:t>6.2特定条件：</w:t>
      </w:r>
      <w:r>
        <w:rPr>
          <w:rFonts w:hint="eastAsia" w:ascii="宋体" w:hAnsi="宋体" w:eastAsia="宋体" w:cs="宋体"/>
          <w:spacing w:val="0"/>
          <w:sz w:val="24"/>
          <w:szCs w:val="24"/>
        </w:rPr>
        <w:br w:type="textWrapping"/>
      </w:r>
    </w:p>
    <w:p w14:paraId="6A5AB7F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36" w:lineRule="auto"/>
        <w:ind w:left="0" w:right="0" w:firstLine="482"/>
        <w:textAlignment w:val="auto"/>
      </w:pPr>
      <w:r>
        <w:rPr>
          <w:rStyle w:val="8"/>
          <w:rFonts w:hint="eastAsia" w:ascii="宋体" w:hAnsi="宋体" w:eastAsia="宋体" w:cs="宋体"/>
          <w:b/>
          <w:spacing w:val="0"/>
          <w:sz w:val="24"/>
          <w:szCs w:val="24"/>
        </w:rPr>
        <w:t>包：1</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6D245A8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52B860F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16051DE">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37D8DF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5DFB3D9D">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AA4CB77">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15A70E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CE8EB76">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7C2DF15">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0AB1E270">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3706C71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0AFF731">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802D135">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5773A0C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3F3AC41">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0956CAE">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43D4F2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CE94618">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661390A">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206E4CF1">
      <w:pPr>
        <w:keepNext w:val="0"/>
        <w:keepLines w:val="0"/>
        <w:widowControl/>
        <w:suppressLineNumbers w:val="0"/>
        <w:jc w:val="left"/>
        <w:rPr>
          <w:rStyle w:val="8"/>
          <w:rFonts w:ascii="宋体" w:hAnsi="宋体" w:eastAsia="宋体" w:cs="宋体"/>
          <w:b/>
          <w:kern w:val="0"/>
          <w:sz w:val="24"/>
          <w:szCs w:val="24"/>
          <w:lang w:val="en-US" w:eastAsia="zh-CN" w:bidi="ar"/>
        </w:rPr>
      </w:pPr>
    </w:p>
    <w:p w14:paraId="0C14127E">
      <w:pPr>
        <w:keepNext w:val="0"/>
        <w:keepLines w:val="0"/>
        <w:widowControl/>
        <w:suppressLineNumbers w:val="0"/>
        <w:jc w:val="left"/>
        <w:rPr>
          <w:rStyle w:val="8"/>
          <w:rFonts w:ascii="宋体" w:hAnsi="宋体" w:eastAsia="宋体" w:cs="宋体"/>
          <w:b/>
          <w:kern w:val="0"/>
          <w:sz w:val="24"/>
          <w:szCs w:val="24"/>
          <w:lang w:val="en-US" w:eastAsia="zh-CN" w:bidi="ar"/>
        </w:rPr>
      </w:pPr>
    </w:p>
    <w:p w14:paraId="3BEC0E0E">
      <w:pPr>
        <w:keepNext w:val="0"/>
        <w:keepLines w:val="0"/>
        <w:widowControl/>
        <w:suppressLineNumbers w:val="0"/>
        <w:jc w:val="left"/>
        <w:rPr>
          <w:rStyle w:val="8"/>
          <w:rFonts w:ascii="宋体" w:hAnsi="宋体" w:eastAsia="宋体" w:cs="宋体"/>
          <w:b/>
          <w:kern w:val="0"/>
          <w:sz w:val="24"/>
          <w:szCs w:val="24"/>
          <w:lang w:val="en-US" w:eastAsia="zh-CN" w:bidi="ar"/>
        </w:rPr>
      </w:pPr>
    </w:p>
    <w:p w14:paraId="61775099">
      <w:pPr>
        <w:keepNext w:val="0"/>
        <w:keepLines w:val="0"/>
        <w:widowControl/>
        <w:suppressLineNumbers w:val="0"/>
        <w:jc w:val="left"/>
      </w:pPr>
      <w:r>
        <w:rPr>
          <w:rStyle w:val="8"/>
          <w:rFonts w:ascii="宋体" w:hAnsi="宋体" w:eastAsia="宋体" w:cs="宋体"/>
          <w:b/>
          <w:kern w:val="0"/>
          <w:sz w:val="24"/>
          <w:szCs w:val="24"/>
          <w:lang w:val="en-US" w:eastAsia="zh-CN" w:bidi="ar"/>
        </w:rPr>
        <w:t>包：3</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1F3E17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3133901">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56B72FC0">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45BA47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D466DAD">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B2DD8CC">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00C9A01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86182F9">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3038370">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0CE87DBE">
      <w:pPr>
        <w:keepNext w:val="0"/>
        <w:keepLines w:val="0"/>
        <w:widowControl/>
        <w:suppressLineNumbers w:val="0"/>
        <w:jc w:val="left"/>
      </w:pPr>
      <w:r>
        <w:rPr>
          <w:rStyle w:val="8"/>
          <w:rFonts w:ascii="宋体" w:hAnsi="宋体" w:eastAsia="宋体" w:cs="宋体"/>
          <w:b/>
          <w:kern w:val="0"/>
          <w:sz w:val="24"/>
          <w:szCs w:val="24"/>
          <w:lang w:val="en-US" w:eastAsia="zh-CN" w:bidi="ar"/>
        </w:rPr>
        <w:t>包：4</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62A5AB7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875D97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90EEBF6">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2440BB1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9686653">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1D9568B3">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6C917D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75B1370">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4F40DA7">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297F10EF">
      <w:pPr>
        <w:keepNext w:val="0"/>
        <w:keepLines w:val="0"/>
        <w:widowControl/>
        <w:suppressLineNumbers w:val="0"/>
        <w:jc w:val="left"/>
        <w:rPr>
          <w:rStyle w:val="8"/>
          <w:rFonts w:ascii="宋体" w:hAnsi="宋体" w:eastAsia="宋体" w:cs="宋体"/>
          <w:b/>
          <w:kern w:val="0"/>
          <w:sz w:val="24"/>
          <w:szCs w:val="24"/>
          <w:lang w:val="en-US" w:eastAsia="zh-CN" w:bidi="ar"/>
        </w:rPr>
      </w:pPr>
    </w:p>
    <w:p w14:paraId="7256A0EA">
      <w:pPr>
        <w:keepNext w:val="0"/>
        <w:keepLines w:val="0"/>
        <w:widowControl/>
        <w:suppressLineNumbers w:val="0"/>
        <w:jc w:val="left"/>
        <w:rPr>
          <w:rStyle w:val="8"/>
          <w:rFonts w:ascii="宋体" w:hAnsi="宋体" w:eastAsia="宋体" w:cs="宋体"/>
          <w:b/>
          <w:kern w:val="0"/>
          <w:sz w:val="24"/>
          <w:szCs w:val="24"/>
          <w:lang w:val="en-US" w:eastAsia="zh-CN" w:bidi="ar"/>
        </w:rPr>
      </w:pPr>
    </w:p>
    <w:p w14:paraId="4792A616">
      <w:pPr>
        <w:keepNext w:val="0"/>
        <w:keepLines w:val="0"/>
        <w:widowControl/>
        <w:suppressLineNumbers w:val="0"/>
        <w:jc w:val="left"/>
        <w:rPr>
          <w:rStyle w:val="8"/>
          <w:rFonts w:ascii="宋体" w:hAnsi="宋体" w:eastAsia="宋体" w:cs="宋体"/>
          <w:b/>
          <w:kern w:val="0"/>
          <w:sz w:val="24"/>
          <w:szCs w:val="24"/>
          <w:lang w:val="en-US" w:eastAsia="zh-CN" w:bidi="ar"/>
        </w:rPr>
      </w:pPr>
    </w:p>
    <w:p w14:paraId="5A2A2A1A">
      <w:pPr>
        <w:keepNext w:val="0"/>
        <w:keepLines w:val="0"/>
        <w:widowControl/>
        <w:suppressLineNumbers w:val="0"/>
        <w:jc w:val="left"/>
        <w:rPr>
          <w:rStyle w:val="8"/>
          <w:rFonts w:ascii="宋体" w:hAnsi="宋体" w:eastAsia="宋体" w:cs="宋体"/>
          <w:b/>
          <w:kern w:val="0"/>
          <w:sz w:val="24"/>
          <w:szCs w:val="24"/>
          <w:lang w:val="en-US" w:eastAsia="zh-CN" w:bidi="ar"/>
        </w:rPr>
      </w:pPr>
    </w:p>
    <w:p w14:paraId="1A5C9FE7">
      <w:pPr>
        <w:keepNext w:val="0"/>
        <w:keepLines w:val="0"/>
        <w:widowControl/>
        <w:suppressLineNumbers w:val="0"/>
        <w:jc w:val="left"/>
      </w:pPr>
      <w:r>
        <w:rPr>
          <w:rStyle w:val="8"/>
          <w:rFonts w:ascii="宋体" w:hAnsi="宋体" w:eastAsia="宋体" w:cs="宋体"/>
          <w:b/>
          <w:kern w:val="0"/>
          <w:sz w:val="24"/>
          <w:szCs w:val="24"/>
          <w:lang w:val="en-US" w:eastAsia="zh-CN" w:bidi="ar"/>
        </w:rPr>
        <w:t>包：5</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005EB91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F4B14A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98F0E8A">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6BC718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6014A59">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91ECF2B">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2CE2E3C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8DEBAD2">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C538118">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41A045D8">
      <w:pPr>
        <w:keepNext w:val="0"/>
        <w:keepLines w:val="0"/>
        <w:widowControl/>
        <w:suppressLineNumbers w:val="0"/>
        <w:jc w:val="left"/>
      </w:pPr>
      <w:r>
        <w:rPr>
          <w:rStyle w:val="8"/>
          <w:rFonts w:ascii="宋体" w:hAnsi="宋体" w:eastAsia="宋体" w:cs="宋体"/>
          <w:b/>
          <w:kern w:val="0"/>
          <w:sz w:val="24"/>
          <w:szCs w:val="24"/>
          <w:lang w:val="en-US" w:eastAsia="zh-CN" w:bidi="ar"/>
        </w:rPr>
        <w:t>包：6</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77A6359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548099D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D70F8D1">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06F455F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A1F0921">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609839F">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644201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9D5098D">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9877C77">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7649990F">
      <w:pPr>
        <w:keepNext w:val="0"/>
        <w:keepLines w:val="0"/>
        <w:widowControl/>
        <w:suppressLineNumbers w:val="0"/>
        <w:jc w:val="left"/>
        <w:rPr>
          <w:rStyle w:val="8"/>
          <w:rFonts w:ascii="宋体" w:hAnsi="宋体" w:eastAsia="宋体" w:cs="宋体"/>
          <w:b/>
          <w:kern w:val="0"/>
          <w:sz w:val="24"/>
          <w:szCs w:val="24"/>
          <w:lang w:val="en-US" w:eastAsia="zh-CN" w:bidi="ar"/>
        </w:rPr>
      </w:pPr>
    </w:p>
    <w:p w14:paraId="373E86B8">
      <w:pPr>
        <w:keepNext w:val="0"/>
        <w:keepLines w:val="0"/>
        <w:widowControl/>
        <w:suppressLineNumbers w:val="0"/>
        <w:jc w:val="left"/>
        <w:rPr>
          <w:rStyle w:val="8"/>
          <w:rFonts w:ascii="宋体" w:hAnsi="宋体" w:eastAsia="宋体" w:cs="宋体"/>
          <w:b/>
          <w:kern w:val="0"/>
          <w:sz w:val="24"/>
          <w:szCs w:val="24"/>
          <w:lang w:val="en-US" w:eastAsia="zh-CN" w:bidi="ar"/>
        </w:rPr>
      </w:pPr>
    </w:p>
    <w:p w14:paraId="2C3E2E0E">
      <w:pPr>
        <w:keepNext w:val="0"/>
        <w:keepLines w:val="0"/>
        <w:widowControl/>
        <w:suppressLineNumbers w:val="0"/>
        <w:jc w:val="left"/>
        <w:rPr>
          <w:rStyle w:val="8"/>
          <w:rFonts w:ascii="宋体" w:hAnsi="宋体" w:eastAsia="宋体" w:cs="宋体"/>
          <w:b/>
          <w:kern w:val="0"/>
          <w:sz w:val="24"/>
          <w:szCs w:val="24"/>
          <w:lang w:val="en-US" w:eastAsia="zh-CN" w:bidi="ar"/>
        </w:rPr>
      </w:pPr>
    </w:p>
    <w:p w14:paraId="4D4E70B8">
      <w:pPr>
        <w:keepNext w:val="0"/>
        <w:keepLines w:val="0"/>
        <w:widowControl/>
        <w:suppressLineNumbers w:val="0"/>
        <w:jc w:val="left"/>
        <w:rPr>
          <w:rStyle w:val="8"/>
          <w:rFonts w:ascii="宋体" w:hAnsi="宋体" w:eastAsia="宋体" w:cs="宋体"/>
          <w:b/>
          <w:kern w:val="0"/>
          <w:sz w:val="24"/>
          <w:szCs w:val="24"/>
          <w:lang w:val="en-US" w:eastAsia="zh-CN" w:bidi="ar"/>
        </w:rPr>
      </w:pPr>
    </w:p>
    <w:p w14:paraId="4BB62F25">
      <w:pPr>
        <w:keepNext w:val="0"/>
        <w:keepLines w:val="0"/>
        <w:widowControl/>
        <w:suppressLineNumbers w:val="0"/>
        <w:jc w:val="left"/>
      </w:pPr>
      <w:r>
        <w:rPr>
          <w:rStyle w:val="8"/>
          <w:rFonts w:ascii="宋体" w:hAnsi="宋体" w:eastAsia="宋体" w:cs="宋体"/>
          <w:b/>
          <w:kern w:val="0"/>
          <w:sz w:val="24"/>
          <w:szCs w:val="24"/>
          <w:lang w:val="en-US" w:eastAsia="zh-CN" w:bidi="ar"/>
        </w:rPr>
        <w:t>包：7</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040EBE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DBAC0F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F56CA23">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73EAB2B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3BF5590">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50E9DE4">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0F2FE8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EC9BA76">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39495E2">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32E95B8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6.3是否接受联合体投标：不接受。</w:t>
      </w:r>
    </w:p>
    <w:p w14:paraId="78E22875">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※根据上述资格要求，投标文件中应提交的“投标人的资格及资信证明文件”详见招标文件第四章。</w:t>
      </w:r>
    </w:p>
    <w:p w14:paraId="5E30F7D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7、报名</w:t>
      </w:r>
    </w:p>
    <w:p w14:paraId="33A80B7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7.1报名期限：详见招标公告或更正公告（若有），若不一致，以更正公告（若有）为准。</w:t>
      </w:r>
    </w:p>
    <w:p w14:paraId="38FFD27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7.2报名期限内，供应商应通过福建省政府采购网上公开信息系统的注册账号（免费注册）对本项目进行报名(请根据项目所在地，登录对应的福建省政府采购网上公开信息系统报名(即省本级网址/地市分网))，否则</w:t>
      </w:r>
      <w:r>
        <w:rPr>
          <w:rStyle w:val="8"/>
          <w:rFonts w:hint="eastAsia" w:ascii="宋体" w:hAnsi="宋体" w:eastAsia="宋体" w:cs="宋体"/>
          <w:b/>
          <w:spacing w:val="0"/>
          <w:sz w:val="24"/>
          <w:szCs w:val="24"/>
        </w:rPr>
        <w:t>投标将被拒绝。</w:t>
      </w:r>
    </w:p>
    <w:p w14:paraId="4B920F5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8、招标文件的获取</w:t>
      </w:r>
    </w:p>
    <w:p w14:paraId="68ECB9D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8.1招标文件提供期限：详见招标公告或更正公告（若有），若不一致，以更正公告（若有）为准。</w:t>
      </w:r>
    </w:p>
    <w:p w14:paraId="2BFBD7D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8.2获取地点及方式：报名后，通过福建省政府采购网上公开信息系统以下载方式获取。</w:t>
      </w:r>
    </w:p>
    <w:p w14:paraId="37B85A8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8.3、招标文件售价：</w:t>
      </w:r>
      <w:r>
        <w:rPr>
          <w:rFonts w:hint="default" w:ascii="Times New Roman" w:hAnsi="Times New Roman" w:cs="Times New Roman"/>
          <w:spacing w:val="0"/>
          <w:sz w:val="24"/>
          <w:szCs w:val="24"/>
        </w:rPr>
        <w:t>0</w:t>
      </w:r>
      <w:r>
        <w:rPr>
          <w:rFonts w:hint="eastAsia" w:ascii="宋体" w:hAnsi="宋体" w:eastAsia="宋体" w:cs="宋体"/>
          <w:spacing w:val="0"/>
          <w:sz w:val="24"/>
          <w:szCs w:val="24"/>
        </w:rPr>
        <w:t>元。</w:t>
      </w:r>
    </w:p>
    <w:p w14:paraId="5C577E9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9、投标截止</w:t>
      </w:r>
    </w:p>
    <w:p w14:paraId="691C9FE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9.1投标截止时间：详见招标公告或更正公告（若有），若不一致，以更正公告（若有）为准。</w:t>
      </w:r>
    </w:p>
    <w:p w14:paraId="7C546D7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9.2投标人应在投标截止时间前按照福建省政府采购网上公开信息系统设定的操作流程将电子投标文件上传至福建省政府采购网上公开信息系统，同时将</w:t>
      </w:r>
      <w:r>
        <w:rPr>
          <w:rStyle w:val="8"/>
          <w:rFonts w:hint="eastAsia" w:ascii="宋体" w:hAnsi="宋体" w:eastAsia="宋体" w:cs="宋体"/>
          <w:b/>
          <w:spacing w:val="0"/>
          <w:sz w:val="24"/>
          <w:szCs w:val="24"/>
        </w:rPr>
        <w:t>投标人的CA证书</w:t>
      </w:r>
      <w:r>
        <w:rPr>
          <w:rFonts w:hint="eastAsia" w:ascii="宋体" w:hAnsi="宋体" w:eastAsia="宋体" w:cs="宋体"/>
          <w:spacing w:val="0"/>
          <w:sz w:val="24"/>
          <w:szCs w:val="24"/>
        </w:rPr>
        <w:t>连同</w:t>
      </w:r>
      <w:r>
        <w:rPr>
          <w:rStyle w:val="8"/>
          <w:rFonts w:hint="eastAsia" w:ascii="宋体" w:hAnsi="宋体" w:eastAsia="宋体" w:cs="宋体"/>
          <w:b/>
          <w:spacing w:val="0"/>
          <w:sz w:val="24"/>
          <w:szCs w:val="24"/>
        </w:rPr>
        <w:t>密封的纸质投标文件</w:t>
      </w:r>
      <w:r>
        <w:rPr>
          <w:rFonts w:hint="eastAsia" w:ascii="宋体" w:hAnsi="宋体" w:eastAsia="宋体" w:cs="宋体"/>
          <w:spacing w:val="0"/>
          <w:sz w:val="24"/>
          <w:szCs w:val="24"/>
        </w:rPr>
        <w:t>送达招标文件第一章第10条载明的地点，否则</w:t>
      </w:r>
      <w:r>
        <w:rPr>
          <w:rStyle w:val="8"/>
          <w:rFonts w:hint="eastAsia" w:ascii="宋体" w:hAnsi="宋体" w:eastAsia="宋体" w:cs="宋体"/>
          <w:b/>
          <w:spacing w:val="0"/>
          <w:sz w:val="24"/>
          <w:szCs w:val="24"/>
        </w:rPr>
        <w:t>投标将被拒绝。</w:t>
      </w:r>
    </w:p>
    <w:p w14:paraId="1CFAE14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10、开标时间及地点：详见招标公告或更正公告（若有），若不一致，以更正公告（若有）为准。</w:t>
      </w:r>
      <w:r>
        <w:rPr>
          <w:rStyle w:val="8"/>
          <w:rFonts w:hint="eastAsia" w:ascii="宋体" w:hAnsi="宋体" w:eastAsia="宋体" w:cs="宋体"/>
          <w:b/>
          <w:spacing w:val="0"/>
          <w:sz w:val="24"/>
          <w:szCs w:val="24"/>
        </w:rPr>
        <w:t> </w:t>
      </w:r>
    </w:p>
    <w:p w14:paraId="3BBA628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11、公告期限</w:t>
      </w:r>
    </w:p>
    <w:p w14:paraId="7D26D2F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11.1招标公告的公告期限：自财政部和福建省财政厅指定的政府采购信息发布媒体最先发布公告之日起</w:t>
      </w:r>
      <w:r>
        <w:rPr>
          <w:rFonts w:hint="default" w:ascii="Times New Roman" w:hAnsi="Times New Roman" w:cs="Times New Roman"/>
          <w:spacing w:val="0"/>
          <w:sz w:val="24"/>
          <w:szCs w:val="24"/>
        </w:rPr>
        <w:t>5</w:t>
      </w:r>
      <w:r>
        <w:rPr>
          <w:rFonts w:hint="eastAsia" w:ascii="宋体" w:hAnsi="宋体" w:eastAsia="宋体" w:cs="宋体"/>
          <w:spacing w:val="0"/>
          <w:sz w:val="24"/>
          <w:szCs w:val="24"/>
        </w:rPr>
        <w:t>个工作日。</w:t>
      </w:r>
    </w:p>
    <w:p w14:paraId="36FE9CA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11.2招标文件公告期限：招标文件随同招标公告一并发布，其公告期限与本章第</w:t>
      </w:r>
      <w:r>
        <w:rPr>
          <w:rFonts w:hint="default" w:ascii="Times New Roman" w:hAnsi="Times New Roman" w:cs="Times New Roman"/>
          <w:spacing w:val="0"/>
          <w:sz w:val="24"/>
          <w:szCs w:val="24"/>
        </w:rPr>
        <w:t>11.1</w:t>
      </w:r>
      <w:r>
        <w:rPr>
          <w:rFonts w:hint="eastAsia" w:ascii="宋体" w:hAnsi="宋体" w:eastAsia="宋体" w:cs="宋体"/>
          <w:spacing w:val="0"/>
          <w:sz w:val="24"/>
          <w:szCs w:val="24"/>
        </w:rPr>
        <w:t>条载明的期限保持一致。</w:t>
      </w:r>
    </w:p>
    <w:p w14:paraId="24421DB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12、采购人：福建省粮食和物资储备局</w:t>
      </w:r>
    </w:p>
    <w:p w14:paraId="0B8E9C5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地址：福州市鼓屏路60号</w:t>
      </w:r>
    </w:p>
    <w:p w14:paraId="72FB0AA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联系方法：0591-22026531</w:t>
      </w:r>
    </w:p>
    <w:p w14:paraId="33EEDF9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13、代理机构：福建省顺鑫招标代理有限公司</w:t>
      </w:r>
    </w:p>
    <w:p w14:paraId="3AFE077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地址：福州市鼓楼区鼓屏路130号第三层办公楼</w:t>
      </w:r>
    </w:p>
    <w:p w14:paraId="33ED676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联系方法：0591-83765885</w:t>
      </w:r>
    </w:p>
    <w:p w14:paraId="36A2EF30">
      <w:pPr>
        <w:pStyle w:val="5"/>
        <w:keepNext w:val="0"/>
        <w:keepLines w:val="0"/>
        <w:widowControl/>
        <w:suppressLineNumbers w:val="0"/>
        <w:spacing w:before="75" w:beforeAutospacing="0" w:after="75" w:afterAutospacing="0"/>
        <w:ind w:left="0" w:right="0" w:firstLine="0"/>
      </w:pPr>
      <w:r>
        <w:rPr>
          <w:spacing w:val="0"/>
          <w:sz w:val="24"/>
          <w:szCs w:val="24"/>
        </w:rPr>
        <w:t> </w:t>
      </w:r>
    </w:p>
    <w:p w14:paraId="31F3E2F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附1：账户信息</w:t>
      </w:r>
    </w:p>
    <w:tbl>
      <w:tblPr>
        <w:tblStyle w:val="6"/>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080"/>
      </w:tblGrid>
      <w:tr w14:paraId="1CC8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6" w:hRule="atLeast"/>
        </w:trPr>
        <w:tc>
          <w:tcPr>
            <w:tcW w:w="9080" w:type="dxa"/>
            <w:tcBorders>
              <w:tl2br w:val="nil"/>
              <w:tr2bl w:val="nil"/>
            </w:tcBorders>
            <w:shd w:val="clear" w:color="auto" w:fill="auto"/>
            <w:tcMar>
              <w:top w:w="0" w:type="dxa"/>
              <w:left w:w="105" w:type="dxa"/>
              <w:bottom w:w="0" w:type="dxa"/>
              <w:right w:w="105" w:type="dxa"/>
            </w:tcMar>
            <w:vAlign w:val="center"/>
          </w:tcPr>
          <w:p w14:paraId="1E5CF1E4">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投标保证金账户</w:t>
            </w:r>
          </w:p>
        </w:tc>
      </w:tr>
      <w:tr w14:paraId="4543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6" w:hRule="atLeast"/>
        </w:trPr>
        <w:tc>
          <w:tcPr>
            <w:tcW w:w="9080" w:type="dxa"/>
            <w:tcBorders>
              <w:tl2br w:val="nil"/>
              <w:tr2bl w:val="nil"/>
            </w:tcBorders>
            <w:shd w:val="clear" w:color="auto" w:fill="auto"/>
            <w:tcMar>
              <w:top w:w="0" w:type="dxa"/>
              <w:left w:w="105" w:type="dxa"/>
              <w:bottom w:w="0" w:type="dxa"/>
              <w:right w:w="105" w:type="dxa"/>
            </w:tcMar>
            <w:vAlign w:val="top"/>
          </w:tcPr>
          <w:p w14:paraId="163CDC98">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开户名称：</w:t>
            </w:r>
            <w:r>
              <w:rPr>
                <w:rFonts w:hint="eastAsia" w:ascii="宋体" w:hAnsi="宋体" w:eastAsia="宋体" w:cs="宋体"/>
                <w:spacing w:val="0"/>
                <w:sz w:val="24"/>
                <w:szCs w:val="24"/>
                <w:u w:val="single"/>
                <w:shd w:val="clear" w:fill="FFFFFF"/>
              </w:rPr>
              <w:t>福建省顺鑫招标代理有限公司</w:t>
            </w:r>
          </w:p>
        </w:tc>
      </w:tr>
      <w:tr w14:paraId="2F4D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2" w:hRule="atLeast"/>
        </w:trPr>
        <w:tc>
          <w:tcPr>
            <w:tcW w:w="9080" w:type="dxa"/>
            <w:tcBorders>
              <w:tl2br w:val="nil"/>
              <w:tr2bl w:val="nil"/>
            </w:tcBorders>
            <w:shd w:val="clear" w:color="auto" w:fill="auto"/>
            <w:tcMar>
              <w:top w:w="0" w:type="dxa"/>
              <w:left w:w="105" w:type="dxa"/>
              <w:bottom w:w="0" w:type="dxa"/>
              <w:right w:w="105" w:type="dxa"/>
            </w:tcMar>
            <w:vAlign w:val="top"/>
          </w:tcPr>
          <w:p w14:paraId="2B39886D">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开户银行：</w:t>
            </w:r>
            <w:r>
              <w:rPr>
                <w:rFonts w:hint="eastAsia" w:ascii="宋体" w:hAnsi="宋体" w:eastAsia="宋体" w:cs="宋体"/>
                <w:spacing w:val="0"/>
                <w:sz w:val="24"/>
                <w:szCs w:val="24"/>
                <w:u w:val="none"/>
              </w:rPr>
              <w:t>供应商在福建省政府采购网上公开信息系统报名后，根据其提示自行选择要缴交的投标保证金托管银行</w:t>
            </w:r>
            <w:r>
              <w:rPr>
                <w:rFonts w:hint="eastAsia" w:ascii="宋体" w:hAnsi="宋体" w:eastAsia="宋体" w:cs="宋体"/>
                <w:spacing w:val="0"/>
                <w:sz w:val="24"/>
                <w:szCs w:val="24"/>
              </w:rPr>
              <w:t>。</w:t>
            </w:r>
          </w:p>
        </w:tc>
      </w:tr>
      <w:tr w14:paraId="3C84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18" w:hRule="atLeast"/>
        </w:trPr>
        <w:tc>
          <w:tcPr>
            <w:tcW w:w="9080" w:type="dxa"/>
            <w:tcBorders>
              <w:tl2br w:val="nil"/>
              <w:tr2bl w:val="nil"/>
            </w:tcBorders>
            <w:shd w:val="clear" w:color="auto" w:fill="auto"/>
            <w:tcMar>
              <w:top w:w="0" w:type="dxa"/>
              <w:left w:w="105" w:type="dxa"/>
              <w:bottom w:w="0" w:type="dxa"/>
              <w:right w:w="105" w:type="dxa"/>
            </w:tcMar>
            <w:vAlign w:val="top"/>
          </w:tcPr>
          <w:p w14:paraId="14017D25">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银行账号：</w:t>
            </w:r>
            <w:r>
              <w:rPr>
                <w:rFonts w:hint="eastAsia" w:ascii="宋体" w:hAnsi="宋体" w:eastAsia="宋体" w:cs="宋体"/>
                <w:spacing w:val="0"/>
                <w:sz w:val="24"/>
                <w:szCs w:val="24"/>
                <w:u w:val="none"/>
              </w:rPr>
              <w:t>福建省政府采购网上公开信息系统根据供应商选择的投标保证金托管银行，以合同包为单位，自动生成供应商所投合同包的缴交银行账号（即多个合同包将对应生成多个缴交账号）。供应商应按照所投合同包的投标保证金要求，缴交相应的投标保证金。</w:t>
            </w:r>
          </w:p>
        </w:tc>
      </w:tr>
      <w:tr w14:paraId="3A11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6" w:hRule="atLeast"/>
        </w:trPr>
        <w:tc>
          <w:tcPr>
            <w:tcW w:w="9080" w:type="dxa"/>
            <w:tcBorders>
              <w:tl2br w:val="nil"/>
              <w:tr2bl w:val="nil"/>
            </w:tcBorders>
            <w:shd w:val="clear" w:color="auto" w:fill="auto"/>
            <w:tcMar>
              <w:top w:w="0" w:type="dxa"/>
              <w:left w:w="105" w:type="dxa"/>
              <w:bottom w:w="0" w:type="dxa"/>
              <w:right w:w="105" w:type="dxa"/>
            </w:tcMar>
            <w:vAlign w:val="center"/>
          </w:tcPr>
          <w:p w14:paraId="2BE5A8A3">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特别提示</w:t>
            </w:r>
          </w:p>
        </w:tc>
      </w:tr>
      <w:tr w14:paraId="14CD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223" w:hRule="atLeast"/>
        </w:trPr>
        <w:tc>
          <w:tcPr>
            <w:tcW w:w="9080" w:type="dxa"/>
            <w:tcBorders>
              <w:tl2br w:val="nil"/>
              <w:tr2bl w:val="nil"/>
            </w:tcBorders>
            <w:shd w:val="clear" w:color="auto" w:fill="auto"/>
            <w:tcMar>
              <w:top w:w="0" w:type="dxa"/>
              <w:left w:w="105" w:type="dxa"/>
              <w:bottom w:w="0" w:type="dxa"/>
              <w:right w:w="105" w:type="dxa"/>
            </w:tcMar>
            <w:vAlign w:val="top"/>
          </w:tcPr>
          <w:p w14:paraId="6712D59F">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1、投标人应认真核对账户信息，将投标保证金汇入以上账户，并自行承担因汇错投标保证金而产生的一切后果。</w:t>
            </w:r>
          </w:p>
          <w:p w14:paraId="6E80417B">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2、投标人在转账或电汇的凭证上应按照以下格式注明，以便核对：“（招标编号：</w:t>
            </w:r>
            <w:r>
              <w:rPr>
                <w:rFonts w:hint="default" w:ascii="Times New Roman" w:hAnsi="Times New Roman" w:cs="Times New Roman"/>
                <w:spacing w:val="0"/>
                <w:sz w:val="24"/>
                <w:szCs w:val="24"/>
              </w:rPr>
              <w:t>***</w:t>
            </w:r>
            <w:r>
              <w:rPr>
                <w:rFonts w:hint="eastAsia" w:ascii="宋体" w:hAnsi="宋体" w:eastAsia="宋体" w:cs="宋体"/>
                <w:spacing w:val="0"/>
                <w:sz w:val="24"/>
                <w:szCs w:val="24"/>
              </w:rPr>
              <w:t>、合同包：</w:t>
            </w:r>
            <w:r>
              <w:rPr>
                <w:rFonts w:hint="default" w:ascii="Times New Roman" w:hAnsi="Times New Roman" w:cs="Times New Roman"/>
                <w:spacing w:val="0"/>
                <w:sz w:val="24"/>
                <w:szCs w:val="24"/>
              </w:rPr>
              <w:t>***</w:t>
            </w:r>
            <w:r>
              <w:rPr>
                <w:rFonts w:hint="eastAsia" w:ascii="宋体" w:hAnsi="宋体" w:eastAsia="宋体" w:cs="宋体"/>
                <w:spacing w:val="0"/>
                <w:sz w:val="24"/>
                <w:szCs w:val="24"/>
              </w:rPr>
              <w:t>）的投标保证金”。</w:t>
            </w:r>
          </w:p>
        </w:tc>
      </w:tr>
    </w:tbl>
    <w:p w14:paraId="10FDF384">
      <w:pPr>
        <w:pStyle w:val="5"/>
        <w:keepNext w:val="0"/>
        <w:keepLines w:val="0"/>
        <w:widowControl/>
        <w:suppressLineNumbers w:val="0"/>
        <w:spacing w:before="75" w:beforeAutospacing="0" w:after="75" w:afterAutospacing="0"/>
        <w:ind w:left="0" w:right="0" w:firstLine="0"/>
      </w:pPr>
      <w:r>
        <w:rPr>
          <w:spacing w:val="0"/>
          <w:sz w:val="24"/>
          <w:szCs w:val="24"/>
        </w:rPr>
        <w:t> </w:t>
      </w:r>
    </w:p>
    <w:p w14:paraId="462FBE93">
      <w:pPr>
        <w:pStyle w:val="5"/>
        <w:keepNext w:val="0"/>
        <w:keepLines w:val="0"/>
        <w:widowControl/>
        <w:suppressLineNumbers w:val="0"/>
        <w:spacing w:before="75" w:beforeAutospacing="0" w:after="75" w:afterAutospacing="0"/>
        <w:ind w:left="0" w:right="0" w:firstLine="480"/>
      </w:pPr>
      <w:r>
        <w:rPr>
          <w:spacing w:val="0"/>
          <w:sz w:val="24"/>
          <w:szCs w:val="24"/>
        </w:rPr>
        <w:t> </w:t>
      </w:r>
    </w:p>
    <w:p w14:paraId="7826D605">
      <w:pPr>
        <w:pStyle w:val="5"/>
        <w:keepNext w:val="0"/>
        <w:keepLines w:val="0"/>
        <w:widowControl/>
        <w:suppressLineNumbers w:val="0"/>
        <w:spacing w:before="75" w:beforeAutospacing="0" w:after="75" w:afterAutospacing="0"/>
        <w:ind w:left="0" w:right="0" w:firstLine="0"/>
      </w:pPr>
      <w:r>
        <w:rPr>
          <w:spacing w:val="0"/>
          <w:sz w:val="24"/>
          <w:szCs w:val="24"/>
        </w:rPr>
        <w:t> </w:t>
      </w:r>
    </w:p>
    <w:p w14:paraId="4642EA2D">
      <w:pPr>
        <w:pStyle w:val="5"/>
        <w:keepNext w:val="0"/>
        <w:keepLines w:val="0"/>
        <w:widowControl/>
        <w:suppressLineNumbers w:val="0"/>
        <w:spacing w:before="75" w:beforeAutospacing="0" w:after="75" w:afterAutospacing="0"/>
        <w:ind w:left="0" w:right="0" w:firstLine="0"/>
      </w:pPr>
      <w:r>
        <w:rPr>
          <w:spacing w:val="0"/>
          <w:sz w:val="24"/>
          <w:szCs w:val="24"/>
        </w:rPr>
        <w:t> </w:t>
      </w:r>
    </w:p>
    <w:p w14:paraId="1DD970C2">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0C60907C">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A968725">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91DF398">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3F61D6D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附</w:t>
      </w:r>
      <w:r>
        <w:rPr>
          <w:spacing w:val="0"/>
          <w:sz w:val="24"/>
          <w:szCs w:val="24"/>
        </w:rPr>
        <w:t>2</w:t>
      </w:r>
      <w:r>
        <w:rPr>
          <w:rFonts w:hint="eastAsia" w:ascii="宋体" w:hAnsi="宋体" w:eastAsia="宋体" w:cs="宋体"/>
          <w:spacing w:val="0"/>
          <w:sz w:val="24"/>
          <w:szCs w:val="24"/>
        </w:rPr>
        <w:t>：采购标的一览表</w:t>
      </w:r>
    </w:p>
    <w:p w14:paraId="013874DA">
      <w:pPr>
        <w:pStyle w:val="5"/>
        <w:keepNext w:val="0"/>
        <w:keepLines w:val="0"/>
        <w:widowControl/>
        <w:suppressLineNumbers w:val="0"/>
        <w:spacing w:before="75" w:beforeAutospacing="0" w:after="75" w:afterAutospacing="0"/>
        <w:ind w:left="0" w:right="0" w:firstLine="0"/>
      </w:pPr>
      <w:r>
        <w:rPr>
          <w:spacing w:val="0"/>
          <w:sz w:val="24"/>
          <w:szCs w:val="24"/>
        </w:rPr>
        <w:t> </w:t>
      </w:r>
    </w:p>
    <w:p w14:paraId="61A3A9F2">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rPr>
        <w:t>金额单位：人民币元</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28"/>
        <w:gridCol w:w="708"/>
        <w:gridCol w:w="1198"/>
        <w:gridCol w:w="623"/>
        <w:gridCol w:w="738"/>
        <w:gridCol w:w="1710"/>
        <w:gridCol w:w="856"/>
        <w:gridCol w:w="1661"/>
      </w:tblGrid>
      <w:tr w14:paraId="5516CD2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04E8B499">
            <w:pPr>
              <w:keepNext w:val="0"/>
              <w:keepLines w:val="0"/>
              <w:widowControl/>
              <w:suppressLineNumbers w:val="0"/>
              <w:jc w:val="center"/>
            </w:pPr>
            <w:r>
              <w:rPr>
                <w:rFonts w:ascii="宋体" w:hAnsi="宋体" w:eastAsia="宋体" w:cs="宋体"/>
                <w:kern w:val="0"/>
                <w:sz w:val="24"/>
                <w:szCs w:val="24"/>
                <w:lang w:val="en-US" w:eastAsia="zh-CN" w:bidi="ar"/>
              </w:rPr>
              <w:t>合同包</w:t>
            </w:r>
          </w:p>
        </w:tc>
        <w:tc>
          <w:tcPr>
            <w:tcW w:w="708" w:type="dxa"/>
            <w:tcBorders>
              <w:top w:val="outset" w:color="auto" w:sz="6" w:space="0"/>
              <w:left w:val="outset" w:color="auto" w:sz="6" w:space="0"/>
              <w:bottom w:val="outset" w:color="auto" w:sz="6" w:space="0"/>
              <w:right w:val="outset" w:color="auto" w:sz="6" w:space="0"/>
            </w:tcBorders>
            <w:shd w:val="clear" w:color="auto" w:fill="auto"/>
            <w:vAlign w:val="center"/>
          </w:tcPr>
          <w:p w14:paraId="0B66E7B4">
            <w:pPr>
              <w:keepNext w:val="0"/>
              <w:keepLines w:val="0"/>
              <w:widowControl/>
              <w:suppressLineNumbers w:val="0"/>
              <w:jc w:val="center"/>
            </w:pPr>
            <w:r>
              <w:rPr>
                <w:rFonts w:ascii="宋体" w:hAnsi="宋体" w:eastAsia="宋体" w:cs="宋体"/>
                <w:kern w:val="0"/>
                <w:sz w:val="24"/>
                <w:szCs w:val="24"/>
                <w:lang w:val="en-US" w:eastAsia="zh-CN" w:bidi="ar"/>
              </w:rPr>
              <w:t>品目号</w:t>
            </w:r>
          </w:p>
        </w:tc>
        <w:tc>
          <w:tcPr>
            <w:tcW w:w="1198" w:type="dxa"/>
            <w:tcBorders>
              <w:top w:val="outset" w:color="auto" w:sz="6" w:space="0"/>
              <w:left w:val="outset" w:color="auto" w:sz="6" w:space="0"/>
              <w:bottom w:val="outset" w:color="auto" w:sz="6" w:space="0"/>
              <w:right w:val="outset" w:color="auto" w:sz="6" w:space="0"/>
            </w:tcBorders>
            <w:shd w:val="clear" w:color="auto" w:fill="auto"/>
            <w:vAlign w:val="center"/>
          </w:tcPr>
          <w:p w14:paraId="708E5034">
            <w:pPr>
              <w:keepNext w:val="0"/>
              <w:keepLines w:val="0"/>
              <w:widowControl/>
              <w:suppressLineNumbers w:val="0"/>
              <w:jc w:val="center"/>
            </w:pPr>
            <w:r>
              <w:rPr>
                <w:rFonts w:ascii="宋体" w:hAnsi="宋体" w:eastAsia="宋体" w:cs="宋体"/>
                <w:kern w:val="0"/>
                <w:sz w:val="24"/>
                <w:szCs w:val="24"/>
                <w:lang w:val="en-US" w:eastAsia="zh-CN" w:bidi="ar"/>
              </w:rPr>
              <w:t>采购标的</w:t>
            </w:r>
          </w:p>
        </w:tc>
        <w:tc>
          <w:tcPr>
            <w:tcW w:w="623" w:type="dxa"/>
            <w:tcBorders>
              <w:top w:val="outset" w:color="auto" w:sz="6" w:space="0"/>
              <w:left w:val="outset" w:color="auto" w:sz="6" w:space="0"/>
              <w:bottom w:val="outset" w:color="auto" w:sz="6" w:space="0"/>
              <w:right w:val="outset" w:color="auto" w:sz="6" w:space="0"/>
            </w:tcBorders>
            <w:shd w:val="clear" w:color="auto" w:fill="auto"/>
            <w:vAlign w:val="center"/>
          </w:tcPr>
          <w:p w14:paraId="4149E61F">
            <w:pPr>
              <w:keepNext w:val="0"/>
              <w:keepLines w:val="0"/>
              <w:widowControl/>
              <w:suppressLineNumbers w:val="0"/>
              <w:jc w:val="center"/>
            </w:pPr>
            <w:r>
              <w:rPr>
                <w:rFonts w:ascii="宋体" w:hAnsi="宋体" w:eastAsia="宋体" w:cs="宋体"/>
                <w:kern w:val="0"/>
                <w:sz w:val="24"/>
                <w:szCs w:val="24"/>
                <w:lang w:val="en-US" w:eastAsia="zh-CN" w:bidi="ar"/>
              </w:rPr>
              <w:t>允许进口</w:t>
            </w:r>
          </w:p>
        </w:tc>
        <w:tc>
          <w:tcPr>
            <w:tcW w:w="738" w:type="dxa"/>
            <w:tcBorders>
              <w:top w:val="outset" w:color="auto" w:sz="6" w:space="0"/>
              <w:left w:val="outset" w:color="auto" w:sz="6" w:space="0"/>
              <w:bottom w:val="outset" w:color="auto" w:sz="6" w:space="0"/>
              <w:right w:val="outset" w:color="auto" w:sz="6" w:space="0"/>
            </w:tcBorders>
            <w:shd w:val="clear" w:color="auto" w:fill="auto"/>
            <w:vAlign w:val="center"/>
          </w:tcPr>
          <w:p w14:paraId="5E6F6953">
            <w:pPr>
              <w:keepNext w:val="0"/>
              <w:keepLines w:val="0"/>
              <w:widowControl/>
              <w:suppressLineNumbers w:val="0"/>
              <w:jc w:val="center"/>
            </w:pPr>
            <w:r>
              <w:rPr>
                <w:rFonts w:ascii="宋体" w:hAnsi="宋体" w:eastAsia="宋体" w:cs="宋体"/>
                <w:kern w:val="0"/>
                <w:sz w:val="24"/>
                <w:szCs w:val="24"/>
                <w:lang w:val="en-US" w:eastAsia="zh-CN" w:bidi="ar"/>
              </w:rPr>
              <w:t>数量</w:t>
            </w:r>
          </w:p>
        </w:tc>
        <w:tc>
          <w:tcPr>
            <w:tcW w:w="1710" w:type="dxa"/>
            <w:tcBorders>
              <w:top w:val="outset" w:color="auto" w:sz="6" w:space="0"/>
              <w:left w:val="outset" w:color="auto" w:sz="6" w:space="0"/>
              <w:bottom w:val="outset" w:color="auto" w:sz="6" w:space="0"/>
              <w:right w:val="outset" w:color="auto" w:sz="6" w:space="0"/>
            </w:tcBorders>
            <w:shd w:val="clear" w:color="auto" w:fill="auto"/>
            <w:vAlign w:val="center"/>
          </w:tcPr>
          <w:p w14:paraId="3DC78991">
            <w:pPr>
              <w:keepNext w:val="0"/>
              <w:keepLines w:val="0"/>
              <w:widowControl/>
              <w:suppressLineNumbers w:val="0"/>
              <w:jc w:val="center"/>
            </w:pPr>
            <w:r>
              <w:rPr>
                <w:rFonts w:ascii="宋体" w:hAnsi="宋体" w:eastAsia="宋体" w:cs="宋体"/>
                <w:kern w:val="0"/>
                <w:sz w:val="24"/>
                <w:szCs w:val="24"/>
                <w:lang w:val="en-US" w:eastAsia="zh-CN" w:bidi="ar"/>
              </w:rPr>
              <w:t>品目号预算</w:t>
            </w: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14905DB0">
            <w:pPr>
              <w:keepNext w:val="0"/>
              <w:keepLines w:val="0"/>
              <w:widowControl/>
              <w:suppressLineNumbers w:val="0"/>
              <w:jc w:val="center"/>
            </w:pPr>
            <w:r>
              <w:rPr>
                <w:rFonts w:ascii="宋体" w:hAnsi="宋体" w:eastAsia="宋体" w:cs="宋体"/>
                <w:kern w:val="0"/>
                <w:sz w:val="24"/>
                <w:szCs w:val="24"/>
                <w:lang w:val="en-US" w:eastAsia="zh-CN" w:bidi="ar"/>
              </w:rPr>
              <w:t>合同包预算</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261517BC">
            <w:pPr>
              <w:keepNext w:val="0"/>
              <w:keepLines w:val="0"/>
              <w:widowControl/>
              <w:suppressLineNumbers w:val="0"/>
              <w:jc w:val="center"/>
            </w:pPr>
            <w:r>
              <w:rPr>
                <w:rFonts w:ascii="宋体" w:hAnsi="宋体" w:eastAsia="宋体" w:cs="宋体"/>
                <w:kern w:val="0"/>
                <w:sz w:val="24"/>
                <w:szCs w:val="24"/>
                <w:lang w:val="en-US" w:eastAsia="zh-CN" w:bidi="ar"/>
              </w:rPr>
              <w:t>投标保证金</w:t>
            </w:r>
          </w:p>
        </w:tc>
      </w:tr>
      <w:tr w14:paraId="70829B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4765DE0C">
            <w:pPr>
              <w:keepNext w:val="0"/>
              <w:keepLines w:val="0"/>
              <w:widowControl/>
              <w:suppressLineNumbers w:val="0"/>
              <w:jc w:val="center"/>
            </w:pPr>
            <w:r>
              <w:rPr>
                <w:rFonts w:ascii="宋体" w:hAnsi="宋体" w:eastAsia="宋体" w:cs="宋体"/>
                <w:kern w:val="0"/>
                <w:sz w:val="24"/>
                <w:szCs w:val="24"/>
                <w:lang w:val="en-US" w:eastAsia="zh-CN" w:bidi="ar"/>
              </w:rPr>
              <w:t>1</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1"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95"/>
              <w:gridCol w:w="1203"/>
              <w:gridCol w:w="623"/>
              <w:gridCol w:w="738"/>
              <w:gridCol w:w="1702"/>
            </w:tblGrid>
            <w:tr w14:paraId="1827B37C">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95" w:type="dxa"/>
                  <w:tcBorders>
                    <w:top w:val="outset" w:color="auto" w:sz="6" w:space="0"/>
                    <w:left w:val="outset" w:color="auto" w:sz="6" w:space="0"/>
                    <w:bottom w:val="outset" w:color="auto" w:sz="6" w:space="0"/>
                    <w:right w:val="outset" w:color="auto" w:sz="6" w:space="0"/>
                  </w:tcBorders>
                  <w:shd w:val="clear" w:color="auto" w:fill="auto"/>
                  <w:vAlign w:val="center"/>
                </w:tcPr>
                <w:p w14:paraId="5600DE5C">
                  <w:pPr>
                    <w:keepNext w:val="0"/>
                    <w:keepLines w:val="0"/>
                    <w:widowControl/>
                    <w:suppressLineNumbers w:val="0"/>
                    <w:jc w:val="center"/>
                  </w:pPr>
                  <w:r>
                    <w:rPr>
                      <w:rFonts w:ascii="宋体" w:hAnsi="宋体" w:eastAsia="宋体" w:cs="宋体"/>
                      <w:kern w:val="0"/>
                      <w:sz w:val="24"/>
                      <w:szCs w:val="24"/>
                      <w:lang w:val="en-US" w:eastAsia="zh-CN" w:bidi="ar"/>
                    </w:rPr>
                    <w:t>1-1</w:t>
                  </w:r>
                </w:p>
              </w:tc>
              <w:tc>
                <w:tcPr>
                  <w:tcW w:w="1203" w:type="dxa"/>
                  <w:tcBorders>
                    <w:top w:val="outset" w:color="auto" w:sz="6" w:space="0"/>
                    <w:left w:val="outset" w:color="auto" w:sz="6" w:space="0"/>
                    <w:bottom w:val="outset" w:color="auto" w:sz="6" w:space="0"/>
                    <w:right w:val="outset" w:color="auto" w:sz="6" w:space="0"/>
                  </w:tcBorders>
                  <w:shd w:val="clear" w:color="auto" w:fill="auto"/>
                  <w:vAlign w:val="center"/>
                </w:tcPr>
                <w:p w14:paraId="5D9DAA8C">
                  <w:pPr>
                    <w:keepNext w:val="0"/>
                    <w:keepLines w:val="0"/>
                    <w:widowControl/>
                    <w:suppressLineNumbers w:val="0"/>
                    <w:jc w:val="center"/>
                  </w:pPr>
                  <w:r>
                    <w:rPr>
                      <w:rFonts w:ascii="宋体" w:hAnsi="宋体" w:eastAsia="宋体" w:cs="宋体"/>
                      <w:kern w:val="0"/>
                      <w:sz w:val="24"/>
                      <w:szCs w:val="24"/>
                      <w:lang w:val="en-US" w:eastAsia="zh-CN" w:bidi="ar"/>
                    </w:rPr>
                    <w:t>棉大衣</w:t>
                  </w:r>
                </w:p>
              </w:tc>
              <w:tc>
                <w:tcPr>
                  <w:tcW w:w="623" w:type="dxa"/>
                  <w:tcBorders>
                    <w:top w:val="outset" w:color="auto" w:sz="6" w:space="0"/>
                    <w:left w:val="outset" w:color="auto" w:sz="6" w:space="0"/>
                    <w:bottom w:val="outset" w:color="auto" w:sz="6" w:space="0"/>
                    <w:right w:val="outset" w:color="auto" w:sz="6" w:space="0"/>
                  </w:tcBorders>
                  <w:shd w:val="clear" w:color="auto" w:fill="auto"/>
                  <w:vAlign w:val="center"/>
                </w:tcPr>
                <w:p w14:paraId="2A1A53ED">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38" w:type="dxa"/>
                  <w:tcBorders>
                    <w:top w:val="outset" w:color="auto" w:sz="6" w:space="0"/>
                    <w:left w:val="outset" w:color="auto" w:sz="6" w:space="0"/>
                    <w:bottom w:val="outset" w:color="auto" w:sz="6" w:space="0"/>
                    <w:right w:val="outset" w:color="auto" w:sz="6" w:space="0"/>
                  </w:tcBorders>
                  <w:shd w:val="clear" w:color="auto" w:fill="auto"/>
                  <w:vAlign w:val="center"/>
                </w:tcPr>
                <w:p w14:paraId="2EB43ACE">
                  <w:pPr>
                    <w:keepNext w:val="0"/>
                    <w:keepLines w:val="0"/>
                    <w:widowControl/>
                    <w:suppressLineNumbers w:val="0"/>
                    <w:jc w:val="center"/>
                  </w:pPr>
                  <w:r>
                    <w:rPr>
                      <w:rFonts w:ascii="宋体" w:hAnsi="宋体" w:eastAsia="宋体" w:cs="宋体"/>
                      <w:kern w:val="0"/>
                      <w:sz w:val="24"/>
                      <w:szCs w:val="24"/>
                      <w:lang w:val="en-US" w:eastAsia="zh-CN" w:bidi="ar"/>
                    </w:rPr>
                    <w:t>10000（件）</w:t>
                  </w:r>
                </w:p>
              </w:tc>
              <w:tc>
                <w:tcPr>
                  <w:tcW w:w="1702" w:type="dxa"/>
                  <w:tcBorders>
                    <w:top w:val="outset" w:color="auto" w:sz="6" w:space="0"/>
                    <w:left w:val="outset" w:color="auto" w:sz="6" w:space="0"/>
                    <w:bottom w:val="outset" w:color="auto" w:sz="6" w:space="0"/>
                    <w:right w:val="outset" w:color="auto" w:sz="6" w:space="0"/>
                  </w:tcBorders>
                  <w:shd w:val="clear" w:color="auto" w:fill="auto"/>
                  <w:vAlign w:val="center"/>
                </w:tcPr>
                <w:p w14:paraId="1176A783">
                  <w:pPr>
                    <w:keepNext w:val="0"/>
                    <w:keepLines w:val="0"/>
                    <w:widowControl/>
                    <w:suppressLineNumbers w:val="0"/>
                    <w:jc w:val="center"/>
                  </w:pPr>
                  <w:r>
                    <w:rPr>
                      <w:rFonts w:ascii="宋体" w:hAnsi="宋体" w:eastAsia="宋体" w:cs="宋体"/>
                      <w:kern w:val="0"/>
                      <w:sz w:val="24"/>
                      <w:szCs w:val="24"/>
                      <w:lang w:val="en-US" w:eastAsia="zh-CN" w:bidi="ar"/>
                    </w:rPr>
                    <w:t>1,050,000.0000</w:t>
                  </w:r>
                </w:p>
              </w:tc>
            </w:tr>
          </w:tbl>
          <w:p w14:paraId="67B70214">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242FA469">
            <w:pPr>
              <w:keepNext w:val="0"/>
              <w:keepLines w:val="0"/>
              <w:widowControl/>
              <w:suppressLineNumbers w:val="0"/>
              <w:jc w:val="center"/>
            </w:pPr>
            <w:r>
              <w:rPr>
                <w:rFonts w:ascii="宋体" w:hAnsi="宋体" w:eastAsia="宋体" w:cs="宋体"/>
                <w:kern w:val="0"/>
                <w:sz w:val="24"/>
                <w:szCs w:val="24"/>
                <w:lang w:val="en-US" w:eastAsia="zh-CN" w:bidi="ar"/>
              </w:rPr>
              <w:t>1050000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3D2B1A13">
            <w:pPr>
              <w:keepNext w:val="0"/>
              <w:keepLines w:val="0"/>
              <w:widowControl/>
              <w:suppressLineNumbers w:val="0"/>
              <w:jc w:val="center"/>
            </w:pPr>
            <w:r>
              <w:rPr>
                <w:rFonts w:ascii="宋体" w:hAnsi="宋体" w:eastAsia="宋体" w:cs="宋体"/>
                <w:kern w:val="0"/>
                <w:sz w:val="24"/>
                <w:szCs w:val="24"/>
                <w:lang w:val="en-US" w:eastAsia="zh-CN" w:bidi="ar"/>
              </w:rPr>
              <w:t>21000</w:t>
            </w:r>
          </w:p>
        </w:tc>
      </w:tr>
      <w:tr w14:paraId="363F48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5FE20EB9">
            <w:pPr>
              <w:keepNext w:val="0"/>
              <w:keepLines w:val="0"/>
              <w:widowControl/>
              <w:suppressLineNumbers w:val="0"/>
              <w:jc w:val="center"/>
            </w:pPr>
            <w:r>
              <w:rPr>
                <w:rFonts w:ascii="宋体" w:hAnsi="宋体" w:eastAsia="宋体" w:cs="宋体"/>
                <w:kern w:val="0"/>
                <w:sz w:val="24"/>
                <w:szCs w:val="24"/>
                <w:lang w:val="en-US" w:eastAsia="zh-CN" w:bidi="ar"/>
              </w:rPr>
              <w:t>2</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5632F82D">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2414FD6A">
                  <w:pPr>
                    <w:keepNext w:val="0"/>
                    <w:keepLines w:val="0"/>
                    <w:widowControl/>
                    <w:suppressLineNumbers w:val="0"/>
                    <w:jc w:val="center"/>
                  </w:pPr>
                  <w:r>
                    <w:rPr>
                      <w:rFonts w:ascii="宋体" w:hAnsi="宋体" w:eastAsia="宋体" w:cs="宋体"/>
                      <w:kern w:val="0"/>
                      <w:sz w:val="24"/>
                      <w:szCs w:val="24"/>
                      <w:lang w:val="en-US" w:eastAsia="zh-CN" w:bidi="ar"/>
                    </w:rPr>
                    <w:t>2-1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4C05E01E">
                  <w:pPr>
                    <w:keepNext w:val="0"/>
                    <w:keepLines w:val="0"/>
                    <w:widowControl/>
                    <w:suppressLineNumbers w:val="0"/>
                    <w:jc w:val="center"/>
                  </w:pPr>
                  <w:r>
                    <w:rPr>
                      <w:rFonts w:ascii="宋体" w:hAnsi="宋体" w:eastAsia="宋体" w:cs="宋体"/>
                      <w:kern w:val="0"/>
                      <w:sz w:val="24"/>
                      <w:szCs w:val="24"/>
                      <w:lang w:val="en-US" w:eastAsia="zh-CN" w:bidi="ar"/>
                    </w:rPr>
                    <w:t>毛毯</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331FDFE2">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6E7CA487">
                  <w:pPr>
                    <w:keepNext w:val="0"/>
                    <w:keepLines w:val="0"/>
                    <w:widowControl/>
                    <w:suppressLineNumbers w:val="0"/>
                    <w:jc w:val="center"/>
                  </w:pPr>
                  <w:r>
                    <w:rPr>
                      <w:rFonts w:ascii="宋体" w:hAnsi="宋体" w:eastAsia="宋体" w:cs="宋体"/>
                      <w:kern w:val="0"/>
                      <w:sz w:val="24"/>
                      <w:szCs w:val="24"/>
                      <w:lang w:val="en-US" w:eastAsia="zh-CN" w:bidi="ar"/>
                    </w:rPr>
                    <w:t>10000（床）</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3D95FDA7">
                  <w:pPr>
                    <w:keepNext w:val="0"/>
                    <w:keepLines w:val="0"/>
                    <w:widowControl/>
                    <w:suppressLineNumbers w:val="0"/>
                    <w:jc w:val="center"/>
                  </w:pPr>
                  <w:r>
                    <w:rPr>
                      <w:rFonts w:ascii="宋体" w:hAnsi="宋体" w:eastAsia="宋体" w:cs="宋体"/>
                      <w:kern w:val="0"/>
                      <w:sz w:val="24"/>
                      <w:szCs w:val="24"/>
                      <w:lang w:val="en-US" w:eastAsia="zh-CN" w:bidi="ar"/>
                    </w:rPr>
                    <w:t>800,000.0000</w:t>
                  </w:r>
                </w:p>
              </w:tc>
            </w:tr>
          </w:tbl>
          <w:p w14:paraId="511C1C1D">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6CB8E36E">
            <w:pPr>
              <w:keepNext w:val="0"/>
              <w:keepLines w:val="0"/>
              <w:widowControl/>
              <w:suppressLineNumbers w:val="0"/>
              <w:jc w:val="center"/>
            </w:pPr>
            <w:r>
              <w:rPr>
                <w:rFonts w:ascii="宋体" w:hAnsi="宋体" w:eastAsia="宋体" w:cs="宋体"/>
                <w:kern w:val="0"/>
                <w:sz w:val="24"/>
                <w:szCs w:val="24"/>
                <w:lang w:val="en-US" w:eastAsia="zh-CN" w:bidi="ar"/>
              </w:rPr>
              <w:t>800000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05735931">
            <w:pPr>
              <w:keepNext w:val="0"/>
              <w:keepLines w:val="0"/>
              <w:widowControl/>
              <w:suppressLineNumbers w:val="0"/>
              <w:jc w:val="center"/>
            </w:pPr>
            <w:r>
              <w:rPr>
                <w:rFonts w:ascii="宋体" w:hAnsi="宋体" w:eastAsia="宋体" w:cs="宋体"/>
                <w:kern w:val="0"/>
                <w:sz w:val="24"/>
                <w:szCs w:val="24"/>
                <w:lang w:val="en-US" w:eastAsia="zh-CN" w:bidi="ar"/>
              </w:rPr>
              <w:t>16000</w:t>
            </w:r>
          </w:p>
        </w:tc>
      </w:tr>
      <w:tr w14:paraId="4451C7A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0E6D6F84">
            <w:pPr>
              <w:keepNext w:val="0"/>
              <w:keepLines w:val="0"/>
              <w:widowControl/>
              <w:suppressLineNumbers w:val="0"/>
              <w:jc w:val="center"/>
            </w:pPr>
            <w:r>
              <w:rPr>
                <w:rFonts w:ascii="宋体" w:hAnsi="宋体" w:eastAsia="宋体" w:cs="宋体"/>
                <w:kern w:val="0"/>
                <w:sz w:val="24"/>
                <w:szCs w:val="24"/>
                <w:lang w:val="en-US" w:eastAsia="zh-CN" w:bidi="ar"/>
              </w:rPr>
              <w:t>3</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06660A06">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3A5D1804">
                  <w:pPr>
                    <w:keepNext w:val="0"/>
                    <w:keepLines w:val="0"/>
                    <w:widowControl/>
                    <w:suppressLineNumbers w:val="0"/>
                    <w:jc w:val="center"/>
                  </w:pPr>
                  <w:r>
                    <w:rPr>
                      <w:rFonts w:ascii="宋体" w:hAnsi="宋体" w:eastAsia="宋体" w:cs="宋体"/>
                      <w:kern w:val="0"/>
                      <w:sz w:val="24"/>
                      <w:szCs w:val="24"/>
                      <w:lang w:val="en-US" w:eastAsia="zh-CN" w:bidi="ar"/>
                    </w:rPr>
                    <w:t>3-1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4BDFC7A4">
                  <w:pPr>
                    <w:keepNext w:val="0"/>
                    <w:keepLines w:val="0"/>
                    <w:widowControl/>
                    <w:suppressLineNumbers w:val="0"/>
                    <w:jc w:val="center"/>
                  </w:pPr>
                  <w:r>
                    <w:rPr>
                      <w:rFonts w:ascii="宋体" w:hAnsi="宋体" w:eastAsia="宋体" w:cs="宋体"/>
                      <w:kern w:val="0"/>
                      <w:sz w:val="24"/>
                      <w:szCs w:val="24"/>
                      <w:lang w:val="en-US" w:eastAsia="zh-CN" w:bidi="ar"/>
                    </w:rPr>
                    <w:t>羽绒服</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15D78CE7">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6B258543">
                  <w:pPr>
                    <w:keepNext w:val="0"/>
                    <w:keepLines w:val="0"/>
                    <w:widowControl/>
                    <w:suppressLineNumbers w:val="0"/>
                    <w:jc w:val="center"/>
                  </w:pPr>
                  <w:r>
                    <w:rPr>
                      <w:rFonts w:ascii="宋体" w:hAnsi="宋体" w:eastAsia="宋体" w:cs="宋体"/>
                      <w:kern w:val="0"/>
                      <w:sz w:val="24"/>
                      <w:szCs w:val="24"/>
                      <w:lang w:val="en-US" w:eastAsia="zh-CN" w:bidi="ar"/>
                    </w:rPr>
                    <w:t>6000（件）</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233442C3">
                  <w:pPr>
                    <w:keepNext w:val="0"/>
                    <w:keepLines w:val="0"/>
                    <w:widowControl/>
                    <w:suppressLineNumbers w:val="0"/>
                    <w:jc w:val="center"/>
                  </w:pPr>
                  <w:r>
                    <w:rPr>
                      <w:rFonts w:ascii="宋体" w:hAnsi="宋体" w:eastAsia="宋体" w:cs="宋体"/>
                      <w:kern w:val="0"/>
                      <w:sz w:val="24"/>
                      <w:szCs w:val="24"/>
                      <w:lang w:val="en-US" w:eastAsia="zh-CN" w:bidi="ar"/>
                    </w:rPr>
                    <w:t>900,000.0000</w:t>
                  </w:r>
                </w:p>
              </w:tc>
            </w:tr>
          </w:tbl>
          <w:p w14:paraId="26629CF5">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786A2F8C">
            <w:pPr>
              <w:keepNext w:val="0"/>
              <w:keepLines w:val="0"/>
              <w:widowControl/>
              <w:suppressLineNumbers w:val="0"/>
              <w:jc w:val="center"/>
            </w:pPr>
            <w:r>
              <w:rPr>
                <w:rFonts w:ascii="宋体" w:hAnsi="宋体" w:eastAsia="宋体" w:cs="宋体"/>
                <w:kern w:val="0"/>
                <w:sz w:val="24"/>
                <w:szCs w:val="24"/>
                <w:lang w:val="en-US" w:eastAsia="zh-CN" w:bidi="ar"/>
              </w:rPr>
              <w:t>900000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27CBF3C1">
            <w:pPr>
              <w:keepNext w:val="0"/>
              <w:keepLines w:val="0"/>
              <w:widowControl/>
              <w:suppressLineNumbers w:val="0"/>
              <w:jc w:val="center"/>
            </w:pPr>
            <w:r>
              <w:rPr>
                <w:rFonts w:ascii="宋体" w:hAnsi="宋体" w:eastAsia="宋体" w:cs="宋体"/>
                <w:kern w:val="0"/>
                <w:sz w:val="24"/>
                <w:szCs w:val="24"/>
                <w:lang w:val="en-US" w:eastAsia="zh-CN" w:bidi="ar"/>
              </w:rPr>
              <w:t>18000</w:t>
            </w:r>
          </w:p>
        </w:tc>
      </w:tr>
      <w:tr w14:paraId="1C7778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204AE722">
            <w:pPr>
              <w:keepNext w:val="0"/>
              <w:keepLines w:val="0"/>
              <w:widowControl/>
              <w:suppressLineNumbers w:val="0"/>
              <w:jc w:val="center"/>
            </w:pPr>
            <w:r>
              <w:rPr>
                <w:rFonts w:ascii="宋体" w:hAnsi="宋体" w:eastAsia="宋体" w:cs="宋体"/>
                <w:kern w:val="0"/>
                <w:sz w:val="24"/>
                <w:szCs w:val="24"/>
                <w:lang w:val="en-US" w:eastAsia="zh-CN" w:bidi="ar"/>
              </w:rPr>
              <w:t>4</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15B03FD7">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31328CFB">
                  <w:pPr>
                    <w:keepNext w:val="0"/>
                    <w:keepLines w:val="0"/>
                    <w:widowControl/>
                    <w:suppressLineNumbers w:val="0"/>
                    <w:jc w:val="center"/>
                  </w:pPr>
                  <w:r>
                    <w:rPr>
                      <w:rFonts w:ascii="宋体" w:hAnsi="宋体" w:eastAsia="宋体" w:cs="宋体"/>
                      <w:kern w:val="0"/>
                      <w:sz w:val="24"/>
                      <w:szCs w:val="24"/>
                      <w:lang w:val="en-US" w:eastAsia="zh-CN" w:bidi="ar"/>
                    </w:rPr>
                    <w:t>4-1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7269DEF1">
                  <w:pPr>
                    <w:keepNext w:val="0"/>
                    <w:keepLines w:val="0"/>
                    <w:widowControl/>
                    <w:suppressLineNumbers w:val="0"/>
                    <w:jc w:val="center"/>
                  </w:pPr>
                  <w:r>
                    <w:rPr>
                      <w:rFonts w:ascii="宋体" w:hAnsi="宋体" w:eastAsia="宋体" w:cs="宋体"/>
                      <w:kern w:val="0"/>
                      <w:sz w:val="24"/>
                      <w:szCs w:val="24"/>
                      <w:lang w:val="en-US" w:eastAsia="zh-CN" w:bidi="ar"/>
                    </w:rPr>
                    <w:t>取暖器</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07364208">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7489AE54">
                  <w:pPr>
                    <w:keepNext w:val="0"/>
                    <w:keepLines w:val="0"/>
                    <w:widowControl/>
                    <w:suppressLineNumbers w:val="0"/>
                    <w:jc w:val="center"/>
                  </w:pPr>
                  <w:r>
                    <w:rPr>
                      <w:rFonts w:ascii="宋体" w:hAnsi="宋体" w:eastAsia="宋体" w:cs="宋体"/>
                      <w:kern w:val="0"/>
                      <w:sz w:val="24"/>
                      <w:szCs w:val="24"/>
                      <w:lang w:val="en-US" w:eastAsia="zh-CN" w:bidi="ar"/>
                    </w:rPr>
                    <w:t>4800（台）</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7723EB06">
                  <w:pPr>
                    <w:keepNext w:val="0"/>
                    <w:keepLines w:val="0"/>
                    <w:widowControl/>
                    <w:suppressLineNumbers w:val="0"/>
                    <w:jc w:val="center"/>
                  </w:pPr>
                  <w:r>
                    <w:rPr>
                      <w:rFonts w:ascii="宋体" w:hAnsi="宋体" w:eastAsia="宋体" w:cs="宋体"/>
                      <w:kern w:val="0"/>
                      <w:sz w:val="24"/>
                      <w:szCs w:val="24"/>
                      <w:lang w:val="en-US" w:eastAsia="zh-CN" w:bidi="ar"/>
                    </w:rPr>
                    <w:t>432,000.0000</w:t>
                  </w:r>
                </w:p>
              </w:tc>
            </w:tr>
          </w:tbl>
          <w:p w14:paraId="2615B640">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39D0D3D5">
            <w:pPr>
              <w:keepNext w:val="0"/>
              <w:keepLines w:val="0"/>
              <w:widowControl/>
              <w:suppressLineNumbers w:val="0"/>
              <w:jc w:val="center"/>
            </w:pPr>
            <w:r>
              <w:rPr>
                <w:rFonts w:ascii="宋体" w:hAnsi="宋体" w:eastAsia="宋体" w:cs="宋体"/>
                <w:kern w:val="0"/>
                <w:sz w:val="24"/>
                <w:szCs w:val="24"/>
                <w:lang w:val="en-US" w:eastAsia="zh-CN" w:bidi="ar"/>
              </w:rPr>
              <w:t>432000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2A5B9DD1">
            <w:pPr>
              <w:keepNext w:val="0"/>
              <w:keepLines w:val="0"/>
              <w:widowControl/>
              <w:suppressLineNumbers w:val="0"/>
              <w:jc w:val="center"/>
            </w:pPr>
            <w:r>
              <w:rPr>
                <w:rFonts w:ascii="宋体" w:hAnsi="宋体" w:eastAsia="宋体" w:cs="宋体"/>
                <w:kern w:val="0"/>
                <w:sz w:val="24"/>
                <w:szCs w:val="24"/>
                <w:lang w:val="en-US" w:eastAsia="zh-CN" w:bidi="ar"/>
              </w:rPr>
              <w:t>8640</w:t>
            </w:r>
          </w:p>
        </w:tc>
      </w:tr>
      <w:tr w14:paraId="6922F93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015CCA38">
            <w:pPr>
              <w:keepNext w:val="0"/>
              <w:keepLines w:val="0"/>
              <w:widowControl/>
              <w:suppressLineNumbers w:val="0"/>
              <w:jc w:val="center"/>
            </w:pPr>
            <w:r>
              <w:rPr>
                <w:rFonts w:ascii="宋体" w:hAnsi="宋体" w:eastAsia="宋体" w:cs="宋体"/>
                <w:kern w:val="0"/>
                <w:sz w:val="24"/>
                <w:szCs w:val="24"/>
                <w:lang w:val="en-US" w:eastAsia="zh-CN" w:bidi="ar"/>
              </w:rPr>
              <w:t>5</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3E5FCC65">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5BA855CD">
                  <w:pPr>
                    <w:keepNext w:val="0"/>
                    <w:keepLines w:val="0"/>
                    <w:widowControl/>
                    <w:suppressLineNumbers w:val="0"/>
                    <w:jc w:val="center"/>
                  </w:pPr>
                  <w:r>
                    <w:rPr>
                      <w:rFonts w:ascii="宋体" w:hAnsi="宋体" w:eastAsia="宋体" w:cs="宋体"/>
                      <w:kern w:val="0"/>
                      <w:sz w:val="24"/>
                      <w:szCs w:val="24"/>
                      <w:lang w:val="en-US" w:eastAsia="zh-CN" w:bidi="ar"/>
                    </w:rPr>
                    <w:t>5-1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762E99E0">
                  <w:pPr>
                    <w:keepNext w:val="0"/>
                    <w:keepLines w:val="0"/>
                    <w:widowControl/>
                    <w:suppressLineNumbers w:val="0"/>
                    <w:jc w:val="center"/>
                  </w:pPr>
                  <w:r>
                    <w:rPr>
                      <w:rFonts w:ascii="宋体" w:hAnsi="宋体" w:eastAsia="宋体" w:cs="宋体"/>
                      <w:kern w:val="0"/>
                      <w:sz w:val="24"/>
                      <w:szCs w:val="24"/>
                      <w:lang w:val="en-US" w:eastAsia="zh-CN" w:bidi="ar"/>
                    </w:rPr>
                    <w:t>折叠床</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7670E042">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106AD266">
                  <w:pPr>
                    <w:keepNext w:val="0"/>
                    <w:keepLines w:val="0"/>
                    <w:widowControl/>
                    <w:suppressLineNumbers w:val="0"/>
                    <w:jc w:val="center"/>
                  </w:pPr>
                  <w:r>
                    <w:rPr>
                      <w:rFonts w:ascii="宋体" w:hAnsi="宋体" w:eastAsia="宋体" w:cs="宋体"/>
                      <w:kern w:val="0"/>
                      <w:sz w:val="24"/>
                      <w:szCs w:val="24"/>
                      <w:lang w:val="en-US" w:eastAsia="zh-CN" w:bidi="ar"/>
                    </w:rPr>
                    <w:t>3300（床）</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3785073E">
                  <w:pPr>
                    <w:keepNext w:val="0"/>
                    <w:keepLines w:val="0"/>
                    <w:widowControl/>
                    <w:suppressLineNumbers w:val="0"/>
                    <w:jc w:val="center"/>
                  </w:pPr>
                  <w:r>
                    <w:rPr>
                      <w:rFonts w:ascii="宋体" w:hAnsi="宋体" w:eastAsia="宋体" w:cs="宋体"/>
                      <w:kern w:val="0"/>
                      <w:sz w:val="24"/>
                      <w:szCs w:val="24"/>
                      <w:lang w:val="en-US" w:eastAsia="zh-CN" w:bidi="ar"/>
                    </w:rPr>
                    <w:t>660,000.0000</w:t>
                  </w:r>
                </w:p>
              </w:tc>
            </w:tr>
          </w:tbl>
          <w:p w14:paraId="02AFD405">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66BA384E">
            <w:pPr>
              <w:keepNext w:val="0"/>
              <w:keepLines w:val="0"/>
              <w:widowControl/>
              <w:suppressLineNumbers w:val="0"/>
              <w:jc w:val="center"/>
            </w:pPr>
            <w:r>
              <w:rPr>
                <w:rFonts w:ascii="宋体" w:hAnsi="宋体" w:eastAsia="宋体" w:cs="宋体"/>
                <w:kern w:val="0"/>
                <w:sz w:val="24"/>
                <w:szCs w:val="24"/>
                <w:lang w:val="en-US" w:eastAsia="zh-CN" w:bidi="ar"/>
              </w:rPr>
              <w:t>660000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24E320F3">
            <w:pPr>
              <w:keepNext w:val="0"/>
              <w:keepLines w:val="0"/>
              <w:widowControl/>
              <w:suppressLineNumbers w:val="0"/>
              <w:jc w:val="center"/>
            </w:pPr>
            <w:r>
              <w:rPr>
                <w:rFonts w:ascii="宋体" w:hAnsi="宋体" w:eastAsia="宋体" w:cs="宋体"/>
                <w:kern w:val="0"/>
                <w:sz w:val="24"/>
                <w:szCs w:val="24"/>
                <w:lang w:val="en-US" w:eastAsia="zh-CN" w:bidi="ar"/>
              </w:rPr>
              <w:t>13200</w:t>
            </w:r>
          </w:p>
        </w:tc>
      </w:tr>
      <w:tr w14:paraId="22BBBD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521053AC">
            <w:pPr>
              <w:keepNext w:val="0"/>
              <w:keepLines w:val="0"/>
              <w:widowControl/>
              <w:suppressLineNumbers w:val="0"/>
              <w:jc w:val="center"/>
            </w:pPr>
            <w:r>
              <w:rPr>
                <w:rFonts w:ascii="宋体" w:hAnsi="宋体" w:eastAsia="宋体" w:cs="宋体"/>
                <w:kern w:val="0"/>
                <w:sz w:val="24"/>
                <w:szCs w:val="24"/>
                <w:lang w:val="en-US" w:eastAsia="zh-CN" w:bidi="ar"/>
              </w:rPr>
              <w:t>6</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0"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7"/>
              <w:gridCol w:w="1213"/>
              <w:gridCol w:w="615"/>
              <w:gridCol w:w="750"/>
              <w:gridCol w:w="1695"/>
            </w:tblGrid>
            <w:tr w14:paraId="0CECEBAC">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687" w:type="dxa"/>
                  <w:tcBorders>
                    <w:top w:val="outset" w:color="auto" w:sz="6" w:space="0"/>
                    <w:left w:val="outset" w:color="auto" w:sz="6" w:space="0"/>
                    <w:bottom w:val="outset" w:color="auto" w:sz="6" w:space="0"/>
                    <w:right w:val="outset" w:color="auto" w:sz="6" w:space="0"/>
                  </w:tcBorders>
                  <w:shd w:val="clear" w:color="auto" w:fill="auto"/>
                  <w:vAlign w:val="center"/>
                </w:tcPr>
                <w:p w14:paraId="67ED0F99">
                  <w:pPr>
                    <w:keepNext w:val="0"/>
                    <w:keepLines w:val="0"/>
                    <w:widowControl/>
                    <w:suppressLineNumbers w:val="0"/>
                    <w:jc w:val="center"/>
                  </w:pPr>
                  <w:r>
                    <w:rPr>
                      <w:rFonts w:ascii="宋体" w:hAnsi="宋体" w:eastAsia="宋体" w:cs="宋体"/>
                      <w:kern w:val="0"/>
                      <w:sz w:val="24"/>
                      <w:szCs w:val="24"/>
                      <w:lang w:val="en-US" w:eastAsia="zh-CN" w:bidi="ar"/>
                    </w:rPr>
                    <w:t>6-1</w:t>
                  </w:r>
                </w:p>
              </w:tc>
              <w:tc>
                <w:tcPr>
                  <w:tcW w:w="1213" w:type="dxa"/>
                  <w:tcBorders>
                    <w:top w:val="outset" w:color="auto" w:sz="6" w:space="0"/>
                    <w:left w:val="outset" w:color="auto" w:sz="6" w:space="0"/>
                    <w:bottom w:val="outset" w:color="auto" w:sz="6" w:space="0"/>
                    <w:right w:val="outset" w:color="auto" w:sz="6" w:space="0"/>
                  </w:tcBorders>
                  <w:shd w:val="clear" w:color="auto" w:fill="auto"/>
                  <w:vAlign w:val="center"/>
                </w:tcPr>
                <w:p w14:paraId="1B4728D7">
                  <w:pPr>
                    <w:keepNext w:val="0"/>
                    <w:keepLines w:val="0"/>
                    <w:widowControl/>
                    <w:suppressLineNumbers w:val="0"/>
                    <w:jc w:val="center"/>
                  </w:pPr>
                  <w:r>
                    <w:rPr>
                      <w:rFonts w:ascii="宋体" w:hAnsi="宋体" w:eastAsia="宋体" w:cs="宋体"/>
                      <w:kern w:val="0"/>
                      <w:sz w:val="24"/>
                      <w:szCs w:val="24"/>
                      <w:lang w:val="en-US" w:eastAsia="zh-CN" w:bidi="ar"/>
                    </w:rPr>
                    <w:t>雨衣雨鞋</w:t>
                  </w:r>
                </w:p>
              </w:tc>
              <w:tc>
                <w:tcPr>
                  <w:tcW w:w="615" w:type="dxa"/>
                  <w:tcBorders>
                    <w:top w:val="outset" w:color="auto" w:sz="6" w:space="0"/>
                    <w:left w:val="outset" w:color="auto" w:sz="6" w:space="0"/>
                    <w:bottom w:val="outset" w:color="auto" w:sz="6" w:space="0"/>
                    <w:right w:val="outset" w:color="auto" w:sz="6" w:space="0"/>
                  </w:tcBorders>
                  <w:shd w:val="clear" w:color="auto" w:fill="auto"/>
                  <w:vAlign w:val="center"/>
                </w:tcPr>
                <w:p w14:paraId="691846CE">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50" w:type="dxa"/>
                  <w:tcBorders>
                    <w:top w:val="outset" w:color="auto" w:sz="6" w:space="0"/>
                    <w:left w:val="outset" w:color="auto" w:sz="6" w:space="0"/>
                    <w:bottom w:val="outset" w:color="auto" w:sz="6" w:space="0"/>
                    <w:right w:val="outset" w:color="auto" w:sz="6" w:space="0"/>
                  </w:tcBorders>
                  <w:shd w:val="clear" w:color="auto" w:fill="auto"/>
                  <w:vAlign w:val="center"/>
                </w:tcPr>
                <w:p w14:paraId="001AE626">
                  <w:pPr>
                    <w:keepNext w:val="0"/>
                    <w:keepLines w:val="0"/>
                    <w:widowControl/>
                    <w:suppressLineNumbers w:val="0"/>
                    <w:jc w:val="center"/>
                  </w:pPr>
                  <w:r>
                    <w:rPr>
                      <w:rFonts w:ascii="宋体" w:hAnsi="宋体" w:eastAsia="宋体" w:cs="宋体"/>
                      <w:kern w:val="0"/>
                      <w:sz w:val="24"/>
                      <w:szCs w:val="24"/>
                      <w:lang w:val="en-US" w:eastAsia="zh-CN" w:bidi="ar"/>
                    </w:rPr>
                    <w:t>500（套）</w:t>
                  </w:r>
                </w:p>
              </w:tc>
              <w:tc>
                <w:tcPr>
                  <w:tcW w:w="1695" w:type="dxa"/>
                  <w:tcBorders>
                    <w:top w:val="outset" w:color="auto" w:sz="6" w:space="0"/>
                    <w:left w:val="outset" w:color="auto" w:sz="6" w:space="0"/>
                    <w:bottom w:val="outset" w:color="auto" w:sz="6" w:space="0"/>
                    <w:right w:val="outset" w:color="auto" w:sz="6" w:space="0"/>
                  </w:tcBorders>
                  <w:shd w:val="clear" w:color="auto" w:fill="auto"/>
                  <w:vAlign w:val="center"/>
                </w:tcPr>
                <w:p w14:paraId="331D8F21">
                  <w:pPr>
                    <w:keepNext w:val="0"/>
                    <w:keepLines w:val="0"/>
                    <w:widowControl/>
                    <w:suppressLineNumbers w:val="0"/>
                    <w:jc w:val="center"/>
                  </w:pPr>
                  <w:r>
                    <w:rPr>
                      <w:rFonts w:ascii="宋体" w:hAnsi="宋体" w:eastAsia="宋体" w:cs="宋体"/>
                      <w:kern w:val="0"/>
                      <w:sz w:val="24"/>
                      <w:szCs w:val="24"/>
                      <w:lang w:val="en-US" w:eastAsia="zh-CN" w:bidi="ar"/>
                    </w:rPr>
                    <w:t>100,000.0000</w:t>
                  </w:r>
                </w:p>
              </w:tc>
            </w:tr>
          </w:tbl>
          <w:p w14:paraId="74D16772">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3E22DA9F">
            <w:pPr>
              <w:keepNext w:val="0"/>
              <w:keepLines w:val="0"/>
              <w:widowControl/>
              <w:suppressLineNumbers w:val="0"/>
              <w:jc w:val="center"/>
            </w:pPr>
            <w:r>
              <w:rPr>
                <w:rFonts w:ascii="宋体" w:hAnsi="宋体" w:eastAsia="宋体" w:cs="宋体"/>
                <w:kern w:val="0"/>
                <w:sz w:val="24"/>
                <w:szCs w:val="24"/>
                <w:lang w:val="en-US" w:eastAsia="zh-CN" w:bidi="ar"/>
              </w:rPr>
              <w:t>100000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3D1CA1AB">
            <w:pPr>
              <w:keepNext w:val="0"/>
              <w:keepLines w:val="0"/>
              <w:widowControl/>
              <w:suppressLineNumbers w:val="0"/>
              <w:jc w:val="center"/>
            </w:pPr>
            <w:r>
              <w:rPr>
                <w:rFonts w:ascii="宋体" w:hAnsi="宋体" w:eastAsia="宋体" w:cs="宋体"/>
                <w:kern w:val="0"/>
                <w:sz w:val="24"/>
                <w:szCs w:val="24"/>
                <w:lang w:val="en-US" w:eastAsia="zh-CN" w:bidi="ar"/>
              </w:rPr>
              <w:t>2000</w:t>
            </w:r>
          </w:p>
        </w:tc>
      </w:tr>
      <w:tr w14:paraId="715CB64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28" w:type="dxa"/>
            <w:tcBorders>
              <w:top w:val="outset" w:color="auto" w:sz="6" w:space="0"/>
              <w:left w:val="outset" w:color="auto" w:sz="6" w:space="0"/>
              <w:bottom w:val="outset" w:color="auto" w:sz="6" w:space="0"/>
              <w:right w:val="outset" w:color="auto" w:sz="6" w:space="0"/>
            </w:tcBorders>
            <w:shd w:val="clear" w:color="auto" w:fill="auto"/>
            <w:vAlign w:val="center"/>
          </w:tcPr>
          <w:p w14:paraId="26CCEA83">
            <w:pPr>
              <w:keepNext w:val="0"/>
              <w:keepLines w:val="0"/>
              <w:widowControl/>
              <w:suppressLineNumbers w:val="0"/>
              <w:jc w:val="center"/>
            </w:pPr>
            <w:r>
              <w:rPr>
                <w:rFonts w:ascii="宋体" w:hAnsi="宋体" w:eastAsia="宋体" w:cs="宋体"/>
                <w:kern w:val="0"/>
                <w:sz w:val="24"/>
                <w:szCs w:val="24"/>
                <w:lang w:val="en-US" w:eastAsia="zh-CN" w:bidi="ar"/>
              </w:rPr>
              <w:t>7</w:t>
            </w:r>
          </w:p>
        </w:tc>
        <w:tc>
          <w:tcPr>
            <w:tcW w:w="4977" w:type="dxa"/>
            <w:gridSpan w:val="5"/>
            <w:tcBorders>
              <w:top w:val="outset" w:color="auto" w:sz="6" w:space="0"/>
              <w:left w:val="outset" w:color="auto" w:sz="6" w:space="0"/>
              <w:bottom w:val="outset" w:color="auto" w:sz="6" w:space="0"/>
              <w:right w:val="outset" w:color="auto" w:sz="6" w:space="0"/>
            </w:tcBorders>
            <w:shd w:val="clear" w:color="auto" w:fill="auto"/>
            <w:vAlign w:val="center"/>
          </w:tcPr>
          <w:tbl>
            <w:tblPr>
              <w:tblStyle w:val="6"/>
              <w:tblW w:w="4961" w:type="dxa"/>
              <w:jc w:val="center"/>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680"/>
              <w:gridCol w:w="1220"/>
              <w:gridCol w:w="621"/>
              <w:gridCol w:w="738"/>
              <w:gridCol w:w="1702"/>
            </w:tblGrid>
            <w:tr w14:paraId="202DD485">
              <w:tblPrEx>
                <w:tblBorders>
                  <w:top w:val="single" w:color="auto" w:sz="6" w:space="0"/>
                  <w:left w:val="single" w:color="auto" w:sz="6" w:space="0"/>
                  <w:bottom w:val="single" w:color="auto" w:sz="6" w:space="0"/>
                  <w:right w:val="singl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80" w:type="dxa"/>
                  <w:tcBorders>
                    <w:top w:val="outset" w:color="auto" w:sz="6" w:space="0"/>
                    <w:left w:val="outset" w:color="auto" w:sz="6" w:space="0"/>
                    <w:bottom w:val="outset" w:color="auto" w:sz="6" w:space="0"/>
                    <w:right w:val="outset" w:color="auto" w:sz="6" w:space="0"/>
                  </w:tcBorders>
                  <w:shd w:val="clear" w:color="auto" w:fill="auto"/>
                  <w:vAlign w:val="center"/>
                </w:tcPr>
                <w:p w14:paraId="5F19F045">
                  <w:pPr>
                    <w:keepNext w:val="0"/>
                    <w:keepLines w:val="0"/>
                    <w:widowControl/>
                    <w:suppressLineNumbers w:val="0"/>
                    <w:jc w:val="center"/>
                  </w:pPr>
                  <w:r>
                    <w:rPr>
                      <w:rFonts w:ascii="宋体" w:hAnsi="宋体" w:eastAsia="宋体" w:cs="宋体"/>
                      <w:kern w:val="0"/>
                      <w:sz w:val="24"/>
                      <w:szCs w:val="24"/>
                      <w:lang w:val="en-US" w:eastAsia="zh-CN" w:bidi="ar"/>
                    </w:rPr>
                    <w:t>7-1</w:t>
                  </w:r>
                </w:p>
              </w:tc>
              <w:tc>
                <w:tcPr>
                  <w:tcW w:w="1220" w:type="dxa"/>
                  <w:tcBorders>
                    <w:top w:val="outset" w:color="auto" w:sz="6" w:space="0"/>
                    <w:left w:val="outset" w:color="auto" w:sz="6" w:space="0"/>
                    <w:bottom w:val="outset" w:color="auto" w:sz="6" w:space="0"/>
                    <w:right w:val="outset" w:color="auto" w:sz="6" w:space="0"/>
                  </w:tcBorders>
                  <w:shd w:val="clear" w:color="auto" w:fill="auto"/>
                  <w:vAlign w:val="center"/>
                </w:tcPr>
                <w:p w14:paraId="61F2A237">
                  <w:pPr>
                    <w:keepNext w:val="0"/>
                    <w:keepLines w:val="0"/>
                    <w:widowControl/>
                    <w:suppressLineNumbers w:val="0"/>
                    <w:jc w:val="center"/>
                  </w:pPr>
                  <w:r>
                    <w:rPr>
                      <w:rFonts w:ascii="宋体" w:hAnsi="宋体" w:eastAsia="宋体" w:cs="宋体"/>
                      <w:kern w:val="0"/>
                      <w:sz w:val="24"/>
                      <w:szCs w:val="24"/>
                      <w:lang w:val="en-US" w:eastAsia="zh-CN" w:bidi="ar"/>
                    </w:rPr>
                    <w:t>3kg棉被</w:t>
                  </w:r>
                </w:p>
              </w:tc>
              <w:tc>
                <w:tcPr>
                  <w:tcW w:w="621" w:type="dxa"/>
                  <w:tcBorders>
                    <w:top w:val="outset" w:color="auto" w:sz="6" w:space="0"/>
                    <w:left w:val="outset" w:color="auto" w:sz="6" w:space="0"/>
                    <w:bottom w:val="outset" w:color="auto" w:sz="6" w:space="0"/>
                    <w:right w:val="outset" w:color="auto" w:sz="6" w:space="0"/>
                  </w:tcBorders>
                  <w:shd w:val="clear" w:color="auto" w:fill="auto"/>
                  <w:vAlign w:val="center"/>
                </w:tcPr>
                <w:p w14:paraId="7C292ABF">
                  <w:pPr>
                    <w:keepNext w:val="0"/>
                    <w:keepLines w:val="0"/>
                    <w:widowControl/>
                    <w:suppressLineNumbers w:val="0"/>
                    <w:jc w:val="center"/>
                  </w:pPr>
                  <w:r>
                    <w:rPr>
                      <w:rFonts w:ascii="宋体" w:hAnsi="宋体" w:eastAsia="宋体" w:cs="宋体"/>
                      <w:kern w:val="0"/>
                      <w:sz w:val="24"/>
                      <w:szCs w:val="24"/>
                      <w:lang w:val="en-US" w:eastAsia="zh-CN" w:bidi="ar"/>
                    </w:rPr>
                    <w:t>否</w:t>
                  </w:r>
                </w:p>
              </w:tc>
              <w:tc>
                <w:tcPr>
                  <w:tcW w:w="738" w:type="dxa"/>
                  <w:tcBorders>
                    <w:top w:val="outset" w:color="auto" w:sz="6" w:space="0"/>
                    <w:left w:val="outset" w:color="auto" w:sz="6" w:space="0"/>
                    <w:bottom w:val="outset" w:color="auto" w:sz="6" w:space="0"/>
                    <w:right w:val="outset" w:color="auto" w:sz="6" w:space="0"/>
                  </w:tcBorders>
                  <w:shd w:val="clear" w:color="auto" w:fill="auto"/>
                  <w:vAlign w:val="center"/>
                </w:tcPr>
                <w:p w14:paraId="73599133">
                  <w:pPr>
                    <w:keepNext w:val="0"/>
                    <w:keepLines w:val="0"/>
                    <w:widowControl/>
                    <w:suppressLineNumbers w:val="0"/>
                    <w:jc w:val="center"/>
                  </w:pPr>
                  <w:r>
                    <w:rPr>
                      <w:rFonts w:ascii="宋体" w:hAnsi="宋体" w:eastAsia="宋体" w:cs="宋体"/>
                      <w:kern w:val="0"/>
                      <w:sz w:val="24"/>
                      <w:szCs w:val="24"/>
                      <w:lang w:val="en-US" w:eastAsia="zh-CN" w:bidi="ar"/>
                    </w:rPr>
                    <w:t>7050（床）</w:t>
                  </w:r>
                </w:p>
              </w:tc>
              <w:tc>
                <w:tcPr>
                  <w:tcW w:w="1702" w:type="dxa"/>
                  <w:tcBorders>
                    <w:top w:val="outset" w:color="auto" w:sz="6" w:space="0"/>
                    <w:left w:val="outset" w:color="auto" w:sz="6" w:space="0"/>
                    <w:bottom w:val="outset" w:color="auto" w:sz="6" w:space="0"/>
                    <w:right w:val="outset" w:color="auto" w:sz="6" w:space="0"/>
                  </w:tcBorders>
                  <w:shd w:val="clear" w:color="auto" w:fill="auto"/>
                  <w:vAlign w:val="center"/>
                </w:tcPr>
                <w:p w14:paraId="4A51203A">
                  <w:pPr>
                    <w:keepNext w:val="0"/>
                    <w:keepLines w:val="0"/>
                    <w:widowControl/>
                    <w:suppressLineNumbers w:val="0"/>
                    <w:jc w:val="center"/>
                  </w:pPr>
                  <w:r>
                    <w:rPr>
                      <w:rFonts w:ascii="宋体" w:hAnsi="宋体" w:eastAsia="宋体" w:cs="宋体"/>
                      <w:kern w:val="0"/>
                      <w:sz w:val="24"/>
                      <w:szCs w:val="24"/>
                      <w:lang w:val="en-US" w:eastAsia="zh-CN" w:bidi="ar"/>
                    </w:rPr>
                    <w:t>1,057,500.0000</w:t>
                  </w:r>
                </w:p>
              </w:tc>
            </w:tr>
          </w:tbl>
          <w:p w14:paraId="120D28A0">
            <w:pPr>
              <w:jc w:val="center"/>
            </w:pPr>
          </w:p>
        </w:tc>
        <w:tc>
          <w:tcPr>
            <w:tcW w:w="856" w:type="dxa"/>
            <w:tcBorders>
              <w:top w:val="outset" w:color="auto" w:sz="6" w:space="0"/>
              <w:left w:val="outset" w:color="auto" w:sz="6" w:space="0"/>
              <w:bottom w:val="outset" w:color="auto" w:sz="6" w:space="0"/>
              <w:right w:val="outset" w:color="auto" w:sz="6" w:space="0"/>
            </w:tcBorders>
            <w:shd w:val="clear" w:color="auto" w:fill="auto"/>
            <w:vAlign w:val="center"/>
          </w:tcPr>
          <w:p w14:paraId="06575250">
            <w:pPr>
              <w:keepNext w:val="0"/>
              <w:keepLines w:val="0"/>
              <w:widowControl/>
              <w:suppressLineNumbers w:val="0"/>
              <w:jc w:val="center"/>
            </w:pPr>
            <w:r>
              <w:rPr>
                <w:rFonts w:ascii="宋体" w:hAnsi="宋体" w:eastAsia="宋体" w:cs="宋体"/>
                <w:kern w:val="0"/>
                <w:sz w:val="24"/>
                <w:szCs w:val="24"/>
                <w:lang w:val="en-US" w:eastAsia="zh-CN" w:bidi="ar"/>
              </w:rPr>
              <w:t>1057500</w:t>
            </w:r>
          </w:p>
        </w:tc>
        <w:tc>
          <w:tcPr>
            <w:tcW w:w="1661" w:type="dxa"/>
            <w:tcBorders>
              <w:top w:val="outset" w:color="auto" w:sz="6" w:space="0"/>
              <w:left w:val="outset" w:color="auto" w:sz="6" w:space="0"/>
              <w:bottom w:val="outset" w:color="auto" w:sz="6" w:space="0"/>
              <w:right w:val="outset" w:color="auto" w:sz="6" w:space="0"/>
            </w:tcBorders>
            <w:shd w:val="clear" w:color="auto" w:fill="auto"/>
            <w:vAlign w:val="center"/>
          </w:tcPr>
          <w:p w14:paraId="6955E03D">
            <w:pPr>
              <w:keepNext w:val="0"/>
              <w:keepLines w:val="0"/>
              <w:widowControl/>
              <w:suppressLineNumbers w:val="0"/>
              <w:jc w:val="center"/>
            </w:pPr>
            <w:r>
              <w:rPr>
                <w:rFonts w:ascii="宋体" w:hAnsi="宋体" w:eastAsia="宋体" w:cs="宋体"/>
                <w:kern w:val="0"/>
                <w:sz w:val="24"/>
                <w:szCs w:val="24"/>
                <w:lang w:val="en-US" w:eastAsia="zh-CN" w:bidi="ar"/>
              </w:rPr>
              <w:t>21150</w:t>
            </w:r>
          </w:p>
        </w:tc>
      </w:tr>
    </w:tbl>
    <w:p w14:paraId="667A5DD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11FADC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057D69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7ECCBF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BF09E1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91B19F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D04A18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4BC6FE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6013541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F56979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E188693">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第二章</w:t>
      </w:r>
      <w:r>
        <w:rPr>
          <w:rStyle w:val="8"/>
          <w:b/>
          <w:spacing w:val="0"/>
          <w:sz w:val="31"/>
          <w:szCs w:val="31"/>
        </w:rPr>
        <w:t>   </w:t>
      </w:r>
      <w:r>
        <w:rPr>
          <w:rStyle w:val="8"/>
          <w:rFonts w:hint="eastAsia" w:ascii="宋体" w:hAnsi="宋体" w:eastAsia="宋体" w:cs="宋体"/>
          <w:b/>
          <w:spacing w:val="0"/>
          <w:sz w:val="31"/>
          <w:szCs w:val="31"/>
        </w:rPr>
        <w:t>投标人须知前附表（表1、</w:t>
      </w:r>
      <w:r>
        <w:rPr>
          <w:rStyle w:val="8"/>
          <w:rFonts w:hint="default" w:ascii="Times New Roman" w:hAnsi="Times New Roman" w:cs="Times New Roman"/>
          <w:b/>
          <w:spacing w:val="0"/>
          <w:sz w:val="31"/>
          <w:szCs w:val="31"/>
        </w:rPr>
        <w:t>2</w:t>
      </w:r>
      <w:r>
        <w:rPr>
          <w:rStyle w:val="8"/>
          <w:rFonts w:hint="eastAsia" w:ascii="宋体" w:hAnsi="宋体" w:eastAsia="宋体" w:cs="宋体"/>
          <w:b/>
          <w:spacing w:val="0"/>
          <w:sz w:val="31"/>
          <w:szCs w:val="31"/>
        </w:rPr>
        <w:t>）</w:t>
      </w:r>
    </w:p>
    <w:p w14:paraId="4913E07E">
      <w:pPr>
        <w:pStyle w:val="5"/>
        <w:keepNext w:val="0"/>
        <w:keepLines w:val="0"/>
        <w:widowControl/>
        <w:suppressLineNumbers w:val="0"/>
        <w:spacing w:before="75" w:beforeAutospacing="0" w:after="75" w:afterAutospacing="0"/>
        <w:ind w:left="0" w:right="0" w:firstLine="0"/>
      </w:pPr>
      <w:r>
        <w:rPr>
          <w:spacing w:val="0"/>
          <w:sz w:val="24"/>
          <w:szCs w:val="24"/>
        </w:rPr>
        <w:t> </w:t>
      </w:r>
    </w:p>
    <w:p w14:paraId="463E516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w:t>
      </w:r>
      <w:r>
        <w:rPr>
          <w:spacing w:val="0"/>
          <w:sz w:val="24"/>
          <w:szCs w:val="24"/>
        </w:rPr>
        <w:t>1</w:t>
      </w:r>
    </w:p>
    <w:tbl>
      <w:tblPr>
        <w:tblStyle w:val="6"/>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596"/>
        <w:gridCol w:w="1584"/>
        <w:gridCol w:w="6336"/>
      </w:tblGrid>
      <w:tr w14:paraId="467D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8516" w:type="dxa"/>
            <w:gridSpan w:val="3"/>
            <w:tcBorders>
              <w:tl2br w:val="nil"/>
              <w:tr2bl w:val="nil"/>
            </w:tcBorders>
            <w:shd w:val="clear" w:color="auto" w:fill="auto"/>
            <w:tcMar>
              <w:top w:w="0" w:type="dxa"/>
              <w:left w:w="105" w:type="dxa"/>
              <w:bottom w:w="0" w:type="dxa"/>
              <w:right w:w="105" w:type="dxa"/>
            </w:tcMar>
            <w:vAlign w:val="center"/>
          </w:tcPr>
          <w:p w14:paraId="434C679B">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特别提示：本表与招标文件对应章节的内容若不一致，以本表为准。</w:t>
            </w:r>
          </w:p>
        </w:tc>
      </w:tr>
      <w:tr w14:paraId="0C04F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285FB90D">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项号</w:t>
            </w:r>
          </w:p>
        </w:tc>
        <w:tc>
          <w:tcPr>
            <w:tcW w:w="1584" w:type="dxa"/>
            <w:tcBorders>
              <w:tl2br w:val="nil"/>
              <w:tr2bl w:val="nil"/>
            </w:tcBorders>
            <w:shd w:val="clear" w:color="auto" w:fill="auto"/>
            <w:tcMar>
              <w:top w:w="0" w:type="dxa"/>
              <w:left w:w="105" w:type="dxa"/>
              <w:bottom w:w="0" w:type="dxa"/>
              <w:right w:w="105" w:type="dxa"/>
            </w:tcMar>
            <w:vAlign w:val="center"/>
          </w:tcPr>
          <w:p w14:paraId="2C1752D7">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招标文件</w:t>
            </w:r>
          </w:p>
          <w:p w14:paraId="6E5AC041">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（第三章）</w:t>
            </w:r>
          </w:p>
        </w:tc>
        <w:tc>
          <w:tcPr>
            <w:tcW w:w="6336" w:type="dxa"/>
            <w:tcBorders>
              <w:tl2br w:val="nil"/>
              <w:tr2bl w:val="nil"/>
            </w:tcBorders>
            <w:shd w:val="clear" w:color="auto" w:fill="auto"/>
            <w:tcMar>
              <w:top w:w="0" w:type="dxa"/>
              <w:left w:w="105" w:type="dxa"/>
              <w:bottom w:w="0" w:type="dxa"/>
              <w:right w:w="105" w:type="dxa"/>
            </w:tcMar>
            <w:vAlign w:val="center"/>
          </w:tcPr>
          <w:p w14:paraId="742B4A37">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14:paraId="25B05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27FCCF89">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1584" w:type="dxa"/>
            <w:tcBorders>
              <w:tl2br w:val="nil"/>
              <w:tr2bl w:val="nil"/>
            </w:tcBorders>
            <w:shd w:val="clear" w:color="auto" w:fill="auto"/>
            <w:tcMar>
              <w:top w:w="0" w:type="dxa"/>
              <w:left w:w="105" w:type="dxa"/>
              <w:bottom w:w="0" w:type="dxa"/>
              <w:right w:w="105" w:type="dxa"/>
            </w:tcMar>
            <w:vAlign w:val="center"/>
          </w:tcPr>
          <w:p w14:paraId="1B57ECC8">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6.1</w:t>
            </w:r>
          </w:p>
        </w:tc>
        <w:tc>
          <w:tcPr>
            <w:tcW w:w="6336" w:type="dxa"/>
            <w:tcBorders>
              <w:tl2br w:val="nil"/>
              <w:tr2bl w:val="nil"/>
            </w:tcBorders>
            <w:shd w:val="clear" w:color="auto" w:fill="auto"/>
            <w:tcMar>
              <w:top w:w="0" w:type="dxa"/>
              <w:left w:w="105" w:type="dxa"/>
              <w:bottom w:w="0" w:type="dxa"/>
              <w:right w:w="105" w:type="dxa"/>
            </w:tcMar>
            <w:vAlign w:val="center"/>
          </w:tcPr>
          <w:p w14:paraId="79C80661">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是否组织现场考察或召开开标前答疑会：</w:t>
            </w:r>
            <w:r>
              <w:rPr>
                <w:rFonts w:hint="eastAsia" w:ascii="宋体" w:hAnsi="宋体" w:eastAsia="宋体" w:cs="宋体"/>
                <w:spacing w:val="0"/>
                <w:sz w:val="24"/>
                <w:szCs w:val="24"/>
              </w:rPr>
              <w:t>否。</w:t>
            </w:r>
          </w:p>
        </w:tc>
      </w:tr>
      <w:tr w14:paraId="711C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18FFF626">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2</w:t>
            </w:r>
          </w:p>
        </w:tc>
        <w:tc>
          <w:tcPr>
            <w:tcW w:w="1584" w:type="dxa"/>
            <w:tcBorders>
              <w:tl2br w:val="nil"/>
              <w:tr2bl w:val="nil"/>
            </w:tcBorders>
            <w:shd w:val="clear" w:color="auto" w:fill="auto"/>
            <w:tcMar>
              <w:top w:w="0" w:type="dxa"/>
              <w:left w:w="105" w:type="dxa"/>
              <w:bottom w:w="0" w:type="dxa"/>
              <w:right w:w="105" w:type="dxa"/>
            </w:tcMar>
            <w:vAlign w:val="center"/>
          </w:tcPr>
          <w:p w14:paraId="24877FE2">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10.4</w:t>
            </w:r>
          </w:p>
        </w:tc>
        <w:tc>
          <w:tcPr>
            <w:tcW w:w="6336" w:type="dxa"/>
            <w:tcBorders>
              <w:tl2br w:val="nil"/>
              <w:tr2bl w:val="nil"/>
            </w:tcBorders>
            <w:shd w:val="clear" w:color="auto" w:fill="auto"/>
            <w:tcMar>
              <w:top w:w="0" w:type="dxa"/>
              <w:left w:w="105" w:type="dxa"/>
              <w:bottom w:w="0" w:type="dxa"/>
              <w:right w:w="105" w:type="dxa"/>
            </w:tcMar>
            <w:vAlign w:val="center"/>
          </w:tcPr>
          <w:p w14:paraId="00042477">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投标文件的份数：</w:t>
            </w:r>
          </w:p>
          <w:p w14:paraId="2B63263B">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（1）纸质投标文件：</w:t>
            </w:r>
          </w:p>
          <w:p w14:paraId="1B26600D">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①资格及资信证明部分的正本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份，报价部分的正本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份，技术商务部分的正本</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份、副本</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份。</w:t>
            </w:r>
          </w:p>
          <w:p w14:paraId="46024EB9">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②可读介质（光盘或</w:t>
            </w:r>
            <w:r>
              <w:rPr>
                <w:rFonts w:hint="default" w:ascii="Times New Roman" w:hAnsi="Times New Roman" w:cs="Times New Roman"/>
                <w:spacing w:val="0"/>
                <w:sz w:val="24"/>
                <w:szCs w:val="24"/>
              </w:rPr>
              <w:t>U</w:t>
            </w:r>
            <w:r>
              <w:rPr>
                <w:rFonts w:hint="eastAsia" w:ascii="宋体" w:hAnsi="宋体" w:eastAsia="宋体" w:cs="宋体"/>
                <w:spacing w:val="0"/>
                <w:sz w:val="24"/>
                <w:szCs w:val="24"/>
              </w:rPr>
              <w:t>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份：投标人应将其上传至福建省政府采购网上公开信息系统的电子投标文件在该可读介质中另存</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份。</w:t>
            </w:r>
          </w:p>
          <w:p w14:paraId="25D54843">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（2）电子投标文件：详见表</w:t>
            </w:r>
            <w:r>
              <w:rPr>
                <w:rFonts w:hint="default" w:ascii="Times New Roman" w:hAnsi="Times New Roman" w:cs="Times New Roman"/>
                <w:spacing w:val="0"/>
                <w:sz w:val="24"/>
                <w:szCs w:val="24"/>
              </w:rPr>
              <w:t>2</w:t>
            </w:r>
            <w:r>
              <w:rPr>
                <w:rFonts w:hint="eastAsia" w:ascii="宋体" w:hAnsi="宋体" w:eastAsia="宋体" w:cs="宋体"/>
                <w:spacing w:val="0"/>
                <w:sz w:val="24"/>
                <w:szCs w:val="24"/>
              </w:rPr>
              <w:t>《关于电子招标投标活动的专门规定》。</w:t>
            </w:r>
          </w:p>
        </w:tc>
      </w:tr>
      <w:tr w14:paraId="6F47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181613D2">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3</w:t>
            </w:r>
          </w:p>
        </w:tc>
        <w:tc>
          <w:tcPr>
            <w:tcW w:w="1584" w:type="dxa"/>
            <w:tcBorders>
              <w:tl2br w:val="nil"/>
              <w:tr2bl w:val="nil"/>
            </w:tcBorders>
            <w:shd w:val="clear" w:color="auto" w:fill="auto"/>
            <w:tcMar>
              <w:top w:w="0" w:type="dxa"/>
              <w:left w:w="105" w:type="dxa"/>
              <w:bottom w:w="0" w:type="dxa"/>
              <w:right w:w="105" w:type="dxa"/>
            </w:tcMar>
            <w:vAlign w:val="center"/>
          </w:tcPr>
          <w:p w14:paraId="1597FA32">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10.5-（</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r>
              <w:rPr>
                <w:rFonts w:hint="default" w:ascii="Times New Roman" w:hAnsi="Times New Roman" w:cs="Times New Roman"/>
                <w:spacing w:val="0"/>
                <w:sz w:val="24"/>
                <w:szCs w:val="24"/>
              </w:rPr>
              <w:t>-</w:t>
            </w:r>
            <w:r>
              <w:rPr>
                <w:rFonts w:hint="eastAsia" w:ascii="宋体" w:hAnsi="宋体" w:eastAsia="宋体" w:cs="宋体"/>
                <w:spacing w:val="0"/>
                <w:sz w:val="24"/>
                <w:szCs w:val="24"/>
              </w:rPr>
              <w:t>③</w:t>
            </w:r>
          </w:p>
        </w:tc>
        <w:tc>
          <w:tcPr>
            <w:tcW w:w="6336" w:type="dxa"/>
            <w:tcBorders>
              <w:tl2br w:val="nil"/>
              <w:tr2bl w:val="nil"/>
            </w:tcBorders>
            <w:shd w:val="clear" w:color="auto" w:fill="auto"/>
            <w:tcMar>
              <w:top w:w="0" w:type="dxa"/>
              <w:left w:w="105" w:type="dxa"/>
              <w:bottom w:w="0" w:type="dxa"/>
              <w:right w:w="105" w:type="dxa"/>
            </w:tcMar>
            <w:vAlign w:val="center"/>
          </w:tcPr>
          <w:p w14:paraId="3EDFCAFC">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允许散装或活页装订的内容或材料：</w:t>
            </w:r>
          </w:p>
          <w:p w14:paraId="525C1453">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（1）投标文件的补充、修改或撤回；</w:t>
            </w:r>
          </w:p>
          <w:p w14:paraId="644E6F52">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（2）其他内容或材料：无</w:t>
            </w:r>
          </w:p>
        </w:tc>
      </w:tr>
      <w:tr w14:paraId="5F799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38C5B4DC">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4</w:t>
            </w:r>
          </w:p>
        </w:tc>
        <w:tc>
          <w:tcPr>
            <w:tcW w:w="1584" w:type="dxa"/>
            <w:tcBorders>
              <w:tl2br w:val="nil"/>
              <w:tr2bl w:val="nil"/>
            </w:tcBorders>
            <w:shd w:val="clear" w:color="auto" w:fill="auto"/>
            <w:tcMar>
              <w:top w:w="0" w:type="dxa"/>
              <w:left w:w="105" w:type="dxa"/>
              <w:bottom w:w="0" w:type="dxa"/>
              <w:right w:w="105" w:type="dxa"/>
            </w:tcMar>
            <w:vAlign w:val="center"/>
          </w:tcPr>
          <w:p w14:paraId="712E6616">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10.7-（</w:t>
            </w:r>
            <w:r>
              <w:rPr>
                <w:rFonts w:hint="default" w:ascii="Times New Roman" w:hAnsi="Times New Roman" w:cs="Times New Roman"/>
                <w:spacing w:val="0"/>
                <w:sz w:val="24"/>
                <w:szCs w:val="24"/>
              </w:rPr>
              <w:t>1</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14:paraId="05750EF5">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是否允许中标人将本项目的非主体、非关键性工作进行分包：</w:t>
            </w:r>
          </w:p>
          <w:p w14:paraId="5E43C277">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不允许。</w:t>
            </w:r>
          </w:p>
        </w:tc>
      </w:tr>
      <w:tr w14:paraId="185A2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6F1DA5F5">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5</w:t>
            </w:r>
          </w:p>
        </w:tc>
        <w:tc>
          <w:tcPr>
            <w:tcW w:w="1584" w:type="dxa"/>
            <w:tcBorders>
              <w:tl2br w:val="nil"/>
              <w:tr2bl w:val="nil"/>
            </w:tcBorders>
            <w:shd w:val="clear" w:color="auto" w:fill="auto"/>
            <w:tcMar>
              <w:top w:w="0" w:type="dxa"/>
              <w:left w:w="105" w:type="dxa"/>
              <w:bottom w:w="0" w:type="dxa"/>
              <w:right w:w="105" w:type="dxa"/>
            </w:tcMar>
            <w:vAlign w:val="center"/>
          </w:tcPr>
          <w:p w14:paraId="149BC2E0">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10.8-（</w:t>
            </w:r>
            <w:r>
              <w:rPr>
                <w:rFonts w:ascii="Calibri" w:hAnsi="Calibri" w:cs="Calibri"/>
                <w:spacing w:val="0"/>
                <w:sz w:val="24"/>
                <w:szCs w:val="24"/>
              </w:rPr>
              <w:t>1</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14:paraId="1DEB7858">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投标有效期</w:t>
            </w:r>
            <w:r>
              <w:rPr>
                <w:rFonts w:hint="eastAsia" w:ascii="宋体" w:hAnsi="宋体" w:eastAsia="宋体" w:cs="宋体"/>
                <w:spacing w:val="0"/>
                <w:sz w:val="24"/>
                <w:szCs w:val="24"/>
              </w:rPr>
              <w:t>：投标截止时间起90个日历日。</w:t>
            </w:r>
          </w:p>
        </w:tc>
      </w:tr>
      <w:tr w14:paraId="1815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589FFB77">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6</w:t>
            </w:r>
          </w:p>
        </w:tc>
        <w:tc>
          <w:tcPr>
            <w:tcW w:w="1584" w:type="dxa"/>
            <w:tcBorders>
              <w:tl2br w:val="nil"/>
              <w:tr2bl w:val="nil"/>
            </w:tcBorders>
            <w:shd w:val="clear" w:color="auto" w:fill="auto"/>
            <w:tcMar>
              <w:top w:w="0" w:type="dxa"/>
              <w:left w:w="105" w:type="dxa"/>
              <w:bottom w:w="0" w:type="dxa"/>
              <w:right w:w="105" w:type="dxa"/>
            </w:tcMar>
            <w:vAlign w:val="center"/>
          </w:tcPr>
          <w:p w14:paraId="08BCD5F9">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10.10-（</w:t>
            </w:r>
            <w:r>
              <w:rPr>
                <w:rFonts w:hint="default" w:ascii="Calibri" w:hAnsi="Calibri" w:cs="Calibri"/>
                <w:spacing w:val="0"/>
                <w:sz w:val="24"/>
                <w:szCs w:val="24"/>
              </w:rPr>
              <w:t>2</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14:paraId="689186F4">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密封及其标记的具体形式：</w:t>
            </w:r>
          </w:p>
          <w:p w14:paraId="18016E9A">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（1）全部纸质投标文件（包括正本、副本及可读介质）均应密封，否则</w:t>
            </w:r>
            <w:r>
              <w:rPr>
                <w:rStyle w:val="8"/>
                <w:rFonts w:hint="eastAsia" w:ascii="宋体" w:hAnsi="宋体" w:eastAsia="宋体" w:cs="宋体"/>
                <w:b/>
                <w:spacing w:val="0"/>
                <w:sz w:val="24"/>
                <w:szCs w:val="24"/>
              </w:rPr>
              <w:t>投标将被拒绝。</w:t>
            </w:r>
          </w:p>
          <w:p w14:paraId="79C5D22A">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（2）密封的外包装应至少标记“项目名称、招标编号、所投合同包、投标人的全称”等内容，否则造成投标文件误投、遗漏或提前拆封的，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不承担责任。</w:t>
            </w:r>
          </w:p>
          <w:p w14:paraId="602B1158">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其他：所有投标文件必须用A4幅面纸张打印装订，应编制封面、目录、页码，须用胶装（为永久性、无破坏不可拆分）装订成册，加盖骑缝章和逐页盖章，封面须加盖公章，副本可以用正本的完整复印件，并在封面标明“正本”、“副本”字样。正本与副本、电子文本如有不一致，则以正本为准。投标人未按上述要求编制的视为无效投标。 投标人应将投标文件的报价部分的正本和全部副本分别用信封密封，并分别标明招标编号、投标人名称、投标项目名称及“报价部分正本”或“报价部分副本”字样。投标文件的技术商务部分和资格及资信证明部分密封同报价部分。投标人投标时须提交报价部分正本、报价部分副本、技术商务部分正本、技术商务部分副本、资格及资信证明部分正本、资格及资信证明部分副本至少六个密封袋。投标文件未密封将导致投标被拒绝。 每一信封密封处应注明“于 之前（指投标邀请中规定的开标日期及时间）不准启封”的字样，并加盖投标人公章。未按照上述规定密封将导致投标文件被拒收。</w:t>
            </w:r>
          </w:p>
        </w:tc>
      </w:tr>
      <w:tr w14:paraId="45A1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0E13EDB8">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7</w:t>
            </w:r>
          </w:p>
        </w:tc>
        <w:tc>
          <w:tcPr>
            <w:tcW w:w="1584" w:type="dxa"/>
            <w:tcBorders>
              <w:tl2br w:val="nil"/>
              <w:tr2bl w:val="nil"/>
            </w:tcBorders>
            <w:shd w:val="clear" w:color="auto" w:fill="auto"/>
            <w:tcMar>
              <w:top w:w="0" w:type="dxa"/>
              <w:left w:w="105" w:type="dxa"/>
              <w:bottom w:w="0" w:type="dxa"/>
              <w:right w:w="105" w:type="dxa"/>
            </w:tcMar>
            <w:vAlign w:val="center"/>
          </w:tcPr>
          <w:p w14:paraId="69A051E3">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12.1</w:t>
            </w:r>
          </w:p>
        </w:tc>
        <w:tc>
          <w:tcPr>
            <w:tcW w:w="6336" w:type="dxa"/>
            <w:tcBorders>
              <w:tl2br w:val="nil"/>
              <w:tr2bl w:val="nil"/>
            </w:tcBorders>
            <w:shd w:val="clear" w:color="auto" w:fill="auto"/>
            <w:tcMar>
              <w:top w:w="0" w:type="dxa"/>
              <w:left w:w="105" w:type="dxa"/>
              <w:bottom w:w="0" w:type="dxa"/>
              <w:right w:w="105" w:type="dxa"/>
            </w:tcMar>
            <w:vAlign w:val="center"/>
          </w:tcPr>
          <w:p w14:paraId="2584B8E1">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本项目推荐合同包1中标候选人数为1家，合同包2中标候选人数为1家，合同包3中标候选人数为1家，合同包4中标候选人数为1家，合同包5中标候选人数为1家，合同包6中标候选人数为1家，合同包7中标候选人数为1家。</w:t>
            </w:r>
          </w:p>
        </w:tc>
      </w:tr>
      <w:tr w14:paraId="1106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75" w:type="dxa"/>
              <w:left w:w="150" w:type="dxa"/>
              <w:bottom w:w="75" w:type="dxa"/>
              <w:right w:w="150" w:type="dxa"/>
            </w:tcMar>
            <w:vAlign w:val="center"/>
          </w:tcPr>
          <w:p w14:paraId="1E35084B">
            <w:pPr>
              <w:pStyle w:val="5"/>
              <w:keepNext w:val="0"/>
              <w:keepLines w:val="0"/>
              <w:widowControl/>
              <w:suppressLineNumbers w:val="0"/>
              <w:spacing w:before="0" w:beforeAutospacing="0" w:after="0" w:afterAutospacing="0"/>
              <w:ind w:left="0" w:right="0" w:firstLine="0"/>
            </w:pPr>
            <w:r>
              <w:rPr>
                <w:spacing w:val="0"/>
                <w:sz w:val="24"/>
                <w:szCs w:val="24"/>
              </w:rPr>
              <w:t>  8</w:t>
            </w:r>
          </w:p>
        </w:tc>
        <w:tc>
          <w:tcPr>
            <w:tcW w:w="1584" w:type="dxa"/>
            <w:tcBorders>
              <w:tl2br w:val="nil"/>
              <w:tr2bl w:val="nil"/>
            </w:tcBorders>
            <w:shd w:val="clear" w:color="auto" w:fill="auto"/>
            <w:tcMar>
              <w:top w:w="75" w:type="dxa"/>
              <w:left w:w="150" w:type="dxa"/>
              <w:bottom w:w="75" w:type="dxa"/>
              <w:right w:w="150" w:type="dxa"/>
            </w:tcMar>
            <w:vAlign w:val="center"/>
          </w:tcPr>
          <w:p w14:paraId="03D57036">
            <w:pPr>
              <w:pStyle w:val="5"/>
              <w:keepNext w:val="0"/>
              <w:keepLines w:val="0"/>
              <w:widowControl/>
              <w:suppressLineNumbers w:val="0"/>
              <w:spacing w:before="0" w:beforeAutospacing="0" w:after="0" w:afterAutospacing="0"/>
              <w:ind w:left="0" w:right="0" w:firstLine="0"/>
            </w:pPr>
            <w:r>
              <w:rPr>
                <w:spacing w:val="0"/>
                <w:sz w:val="24"/>
                <w:szCs w:val="24"/>
              </w:rPr>
              <w:t>  </w:t>
            </w:r>
            <w:r>
              <w:rPr>
                <w:rFonts w:hint="eastAsia" w:ascii="宋体" w:hAnsi="宋体" w:eastAsia="宋体" w:cs="宋体"/>
                <w:spacing w:val="0"/>
                <w:sz w:val="24"/>
                <w:szCs w:val="24"/>
              </w:rPr>
              <w:t>12.2</w:t>
            </w:r>
          </w:p>
        </w:tc>
        <w:tc>
          <w:tcPr>
            <w:tcW w:w="6336" w:type="dxa"/>
            <w:tcBorders>
              <w:tl2br w:val="nil"/>
              <w:tr2bl w:val="nil"/>
            </w:tcBorders>
            <w:shd w:val="clear" w:color="auto" w:fill="auto"/>
            <w:tcMar>
              <w:top w:w="75" w:type="dxa"/>
              <w:left w:w="150" w:type="dxa"/>
              <w:bottom w:w="75" w:type="dxa"/>
              <w:right w:w="150" w:type="dxa"/>
            </w:tcMar>
            <w:vAlign w:val="center"/>
          </w:tcPr>
          <w:p w14:paraId="1F7B3899">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b/>
                <w:spacing w:val="0"/>
                <w:sz w:val="24"/>
                <w:szCs w:val="24"/>
              </w:rPr>
              <w:t>本项目中标人的确定（以合同包为单位）：</w:t>
            </w:r>
          </w:p>
          <w:p w14:paraId="6D44BCF6">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（1）采购人应在政府采购招投标管理办法规定的时限内确定中标人。</w:t>
            </w:r>
          </w:p>
          <w:p w14:paraId="03AB8F80">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（2）若出现中标候选人并列情形，则按照下列方式确定中标人：</w:t>
            </w:r>
          </w:p>
          <w:p w14:paraId="5451F90B">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①招标文件规定的方式：</w:t>
            </w:r>
            <w:r>
              <w:rPr>
                <w:spacing w:val="0"/>
                <w:sz w:val="24"/>
                <w:szCs w:val="24"/>
              </w:rPr>
              <w:t>无</w:t>
            </w:r>
            <w:r>
              <w:rPr>
                <w:rFonts w:hint="eastAsia" w:ascii="宋体" w:hAnsi="宋体" w:eastAsia="宋体" w:cs="宋体"/>
                <w:spacing w:val="0"/>
                <w:sz w:val="24"/>
                <w:szCs w:val="24"/>
              </w:rPr>
              <w:t>。</w:t>
            </w:r>
          </w:p>
          <w:p w14:paraId="0330E71E">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②若本款第①点规定方式为“无”，则按照下列方式确定：无。</w:t>
            </w:r>
          </w:p>
          <w:p w14:paraId="4FF56416">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③若本款第①、②点规定方式均为“无”，则按照下列方式确定：随机抽取。</w:t>
            </w:r>
          </w:p>
          <w:p w14:paraId="2FC5CD4D">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（3）本项目确定的中标人家数：</w:t>
            </w:r>
          </w:p>
          <w:p w14:paraId="22BBF4C4">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①本项目确定合同包1中标人数为1家，合同包2中标人数为1家，合同包3中标人数为1家，合同包4中标人数为1家，合同包5中标人数为1家，合同包6中标人数为1家，合同包7中标人数为1家；</w:t>
            </w:r>
          </w:p>
          <w:p w14:paraId="6D8FE88F">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②若出现中标候选人符合法定家数但不足本款第①点规定中标人家数情形，则按照中标候选人的实际家数确定中标人。</w:t>
            </w:r>
          </w:p>
        </w:tc>
      </w:tr>
      <w:tr w14:paraId="32188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39C3732A">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9</w:t>
            </w:r>
          </w:p>
        </w:tc>
        <w:tc>
          <w:tcPr>
            <w:tcW w:w="1584" w:type="dxa"/>
            <w:tcBorders>
              <w:tl2br w:val="nil"/>
              <w:tr2bl w:val="nil"/>
            </w:tcBorders>
            <w:shd w:val="clear" w:color="auto" w:fill="auto"/>
            <w:tcMar>
              <w:top w:w="0" w:type="dxa"/>
              <w:left w:w="105" w:type="dxa"/>
              <w:bottom w:w="0" w:type="dxa"/>
              <w:right w:w="105" w:type="dxa"/>
            </w:tcMar>
            <w:vAlign w:val="center"/>
          </w:tcPr>
          <w:p w14:paraId="12BC67D7">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15.1-（</w:t>
            </w:r>
            <w:r>
              <w:rPr>
                <w:rFonts w:hint="default" w:ascii="Times New Roman" w:hAnsi="Times New Roman" w:cs="Times New Roman"/>
                <w:spacing w:val="0"/>
                <w:sz w:val="24"/>
                <w:szCs w:val="24"/>
              </w:rPr>
              <w:t>2</w:t>
            </w:r>
            <w:r>
              <w:rPr>
                <w:rFonts w:hint="eastAsia" w:ascii="宋体" w:hAnsi="宋体" w:eastAsia="宋体" w:cs="宋体"/>
                <w:spacing w:val="0"/>
                <w:sz w:val="24"/>
                <w:szCs w:val="24"/>
              </w:rPr>
              <w:t>）</w:t>
            </w:r>
          </w:p>
        </w:tc>
        <w:tc>
          <w:tcPr>
            <w:tcW w:w="6336" w:type="dxa"/>
            <w:tcBorders>
              <w:tl2br w:val="nil"/>
              <w:tr2bl w:val="nil"/>
            </w:tcBorders>
            <w:shd w:val="clear" w:color="auto" w:fill="auto"/>
            <w:tcMar>
              <w:top w:w="0" w:type="dxa"/>
              <w:left w:w="105" w:type="dxa"/>
              <w:bottom w:w="0" w:type="dxa"/>
              <w:right w:w="105" w:type="dxa"/>
            </w:tcMar>
            <w:vAlign w:val="center"/>
          </w:tcPr>
          <w:p w14:paraId="54F4F1F4">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质疑函原件应采用下列方式提交：</w:t>
            </w:r>
            <w:r>
              <w:rPr>
                <w:rFonts w:hint="eastAsia" w:ascii="宋体" w:hAnsi="宋体" w:eastAsia="宋体" w:cs="宋体"/>
                <w:spacing w:val="0"/>
                <w:sz w:val="24"/>
                <w:szCs w:val="24"/>
              </w:rPr>
              <w:t>书面形式。</w:t>
            </w:r>
          </w:p>
        </w:tc>
      </w:tr>
      <w:tr w14:paraId="164E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2192AFC7">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10</w:t>
            </w:r>
          </w:p>
        </w:tc>
        <w:tc>
          <w:tcPr>
            <w:tcW w:w="1584" w:type="dxa"/>
            <w:tcBorders>
              <w:tl2br w:val="nil"/>
              <w:tr2bl w:val="nil"/>
            </w:tcBorders>
            <w:shd w:val="clear" w:color="auto" w:fill="auto"/>
            <w:tcMar>
              <w:top w:w="0" w:type="dxa"/>
              <w:left w:w="105" w:type="dxa"/>
              <w:bottom w:w="0" w:type="dxa"/>
              <w:right w:w="105" w:type="dxa"/>
            </w:tcMar>
            <w:vAlign w:val="center"/>
          </w:tcPr>
          <w:p w14:paraId="5C226230">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w:t>
            </w:r>
          </w:p>
          <w:p w14:paraId="14B1A5A6">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   15.4</w:t>
            </w:r>
          </w:p>
          <w:p w14:paraId="2EDAF362">
            <w:pPr>
              <w:pStyle w:val="5"/>
              <w:keepNext w:val="0"/>
              <w:keepLines w:val="0"/>
              <w:widowControl/>
              <w:suppressLineNumbers w:val="0"/>
              <w:spacing w:before="0" w:beforeAutospacing="0" w:after="0" w:afterAutospacing="0"/>
              <w:ind w:left="0" w:right="0"/>
            </w:pPr>
            <w:r>
              <w:rPr>
                <w:rFonts w:hint="default" w:ascii="Calibri" w:hAnsi="Calibri" w:cs="Calibri"/>
                <w:spacing w:val="0"/>
                <w:sz w:val="24"/>
                <w:szCs w:val="24"/>
              </w:rPr>
              <w:t> </w:t>
            </w:r>
          </w:p>
          <w:p w14:paraId="3140A404">
            <w:pPr>
              <w:pStyle w:val="5"/>
              <w:keepNext w:val="0"/>
              <w:keepLines w:val="0"/>
              <w:widowControl/>
              <w:suppressLineNumbers w:val="0"/>
              <w:spacing w:before="0" w:beforeAutospacing="0" w:after="0" w:afterAutospacing="0"/>
              <w:ind w:left="0" w:right="0"/>
              <w:jc w:val="center"/>
            </w:pPr>
            <w:r>
              <w:rPr>
                <w:rFonts w:hint="default" w:ascii="Calibri" w:hAnsi="Calibri" w:cs="Calibri"/>
                <w:spacing w:val="0"/>
                <w:sz w:val="24"/>
                <w:szCs w:val="24"/>
              </w:rPr>
              <w:t> </w:t>
            </w:r>
          </w:p>
        </w:tc>
        <w:tc>
          <w:tcPr>
            <w:tcW w:w="6336" w:type="dxa"/>
            <w:tcBorders>
              <w:tl2br w:val="nil"/>
              <w:tr2bl w:val="nil"/>
            </w:tcBorders>
            <w:shd w:val="clear" w:color="auto" w:fill="auto"/>
            <w:tcMar>
              <w:top w:w="0" w:type="dxa"/>
              <w:left w:w="105" w:type="dxa"/>
              <w:bottom w:w="0" w:type="dxa"/>
              <w:right w:w="105" w:type="dxa"/>
            </w:tcMar>
            <w:vAlign w:val="center"/>
          </w:tcPr>
          <w:p w14:paraId="49D84B14">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招标文件的质疑</w:t>
            </w:r>
          </w:p>
          <w:p w14:paraId="41116580">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（1）潜在投标人可在质疑时效期间内对招标文件以书面形式提出质疑。</w:t>
            </w:r>
          </w:p>
          <w:p w14:paraId="60BA6282">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（2）质疑时效期间：</w:t>
            </w:r>
          </w:p>
          <w:p w14:paraId="16F69B34">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①在招标文件公告期限内：自招标文件首次下载之日起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提出，招标文件公告期限、首次下载之日均以福建省政府采购网上公开信息系统记载的为准。</w:t>
            </w:r>
          </w:p>
          <w:p w14:paraId="186C46A0">
            <w:pPr>
              <w:pStyle w:val="5"/>
              <w:keepNext w:val="0"/>
              <w:keepLines w:val="0"/>
              <w:widowControl/>
              <w:suppressLineNumbers w:val="0"/>
              <w:spacing w:before="0" w:beforeAutospacing="0" w:after="0" w:afterAutospacing="0"/>
              <w:ind w:left="0" w:right="0"/>
            </w:pPr>
            <w:r>
              <w:rPr>
                <w:rFonts w:hint="eastAsia" w:ascii="宋体" w:hAnsi="宋体" w:eastAsia="宋体" w:cs="宋体"/>
                <w:spacing w:val="0"/>
                <w:sz w:val="24"/>
                <w:szCs w:val="24"/>
              </w:rPr>
              <w:t>②在招标文件公告期限截止后至招标文件提供期限届满前的期间内：自招标文件公告期限届满之日起</w:t>
            </w:r>
            <w:r>
              <w:rPr>
                <w:rFonts w:hint="default" w:ascii="Times New Roman" w:hAnsi="Times New Roman" w:cs="Times New Roman"/>
                <w:spacing w:val="0"/>
                <w:sz w:val="24"/>
                <w:szCs w:val="24"/>
              </w:rPr>
              <w:t>7</w:t>
            </w:r>
            <w:r>
              <w:rPr>
                <w:rFonts w:hint="eastAsia" w:ascii="宋体" w:hAnsi="宋体" w:eastAsia="宋体" w:cs="宋体"/>
                <w:spacing w:val="0"/>
                <w:sz w:val="24"/>
                <w:szCs w:val="24"/>
              </w:rPr>
              <w:t>个工作日内向</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提出，招标文件公告期限、招标文件提供期限均以福建省政府采购网上公开信息系统记载的为准。</w:t>
            </w:r>
          </w:p>
          <w:p w14:paraId="530E4608">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※除上述规定外，对招标文件提出的质疑还应符合招标文件第三章第</w:t>
            </w:r>
            <w:r>
              <w:rPr>
                <w:rStyle w:val="8"/>
                <w:rFonts w:hint="default" w:ascii="Times New Roman" w:hAnsi="Times New Roman" w:cs="Times New Roman"/>
                <w:b/>
                <w:spacing w:val="0"/>
                <w:sz w:val="24"/>
                <w:szCs w:val="24"/>
              </w:rPr>
              <w:t>15.1</w:t>
            </w:r>
            <w:r>
              <w:rPr>
                <w:rStyle w:val="8"/>
                <w:rFonts w:hint="eastAsia" w:ascii="宋体" w:hAnsi="宋体" w:eastAsia="宋体" w:cs="宋体"/>
                <w:b/>
                <w:spacing w:val="0"/>
                <w:sz w:val="24"/>
                <w:szCs w:val="24"/>
              </w:rPr>
              <w:t>条的有关规定。</w:t>
            </w:r>
          </w:p>
        </w:tc>
      </w:tr>
      <w:tr w14:paraId="19F5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26C54DBD">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11</w:t>
            </w:r>
          </w:p>
        </w:tc>
        <w:tc>
          <w:tcPr>
            <w:tcW w:w="1584" w:type="dxa"/>
            <w:tcBorders>
              <w:tl2br w:val="nil"/>
              <w:tr2bl w:val="nil"/>
            </w:tcBorders>
            <w:shd w:val="clear" w:color="auto" w:fill="auto"/>
            <w:tcMar>
              <w:top w:w="0" w:type="dxa"/>
              <w:left w:w="105" w:type="dxa"/>
              <w:bottom w:w="0" w:type="dxa"/>
              <w:right w:w="105" w:type="dxa"/>
            </w:tcMar>
            <w:vAlign w:val="center"/>
          </w:tcPr>
          <w:p w14:paraId="5BD4915D">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16.1</w:t>
            </w:r>
          </w:p>
        </w:tc>
        <w:tc>
          <w:tcPr>
            <w:tcW w:w="6336" w:type="dxa"/>
            <w:tcBorders>
              <w:tl2br w:val="nil"/>
              <w:tr2bl w:val="nil"/>
            </w:tcBorders>
            <w:shd w:val="clear" w:color="auto" w:fill="auto"/>
            <w:tcMar>
              <w:top w:w="0" w:type="dxa"/>
              <w:left w:w="105" w:type="dxa"/>
              <w:bottom w:w="0" w:type="dxa"/>
              <w:right w:w="105" w:type="dxa"/>
            </w:tcMar>
            <w:vAlign w:val="center"/>
          </w:tcPr>
          <w:p w14:paraId="55196E3E">
            <w:pPr>
              <w:pStyle w:val="5"/>
              <w:keepNext w:val="0"/>
              <w:keepLines w:val="0"/>
              <w:widowControl/>
              <w:suppressLineNumbers w:val="0"/>
              <w:spacing w:before="0" w:beforeAutospacing="0" w:after="0" w:afterAutospacing="0"/>
              <w:ind w:left="0" w:right="0"/>
            </w:pPr>
            <w:r>
              <w:rPr>
                <w:rStyle w:val="8"/>
                <w:rFonts w:hint="eastAsia" w:ascii="宋体" w:hAnsi="宋体" w:eastAsia="宋体" w:cs="宋体"/>
                <w:b/>
                <w:spacing w:val="0"/>
                <w:sz w:val="24"/>
                <w:szCs w:val="24"/>
              </w:rPr>
              <w:t>监督管理部门：</w:t>
            </w:r>
            <w:r>
              <w:rPr>
                <w:rFonts w:hint="eastAsia" w:ascii="宋体" w:hAnsi="宋体" w:eastAsia="宋体" w:cs="宋体"/>
                <w:spacing w:val="0"/>
                <w:sz w:val="24"/>
                <w:szCs w:val="24"/>
              </w:rPr>
              <w:t>福建省财政厅</w:t>
            </w:r>
            <w:r>
              <w:rPr>
                <w:rStyle w:val="8"/>
                <w:rFonts w:hint="eastAsia" w:ascii="宋体" w:hAnsi="宋体" w:eastAsia="宋体" w:cs="宋体"/>
                <w:b/>
                <w:color w:val="337AB7"/>
                <w:spacing w:val="0"/>
                <w:sz w:val="24"/>
                <w:szCs w:val="24"/>
                <w:u w:val="none"/>
              </w:rPr>
              <w:t>（仅限依法进行政府采购的货物或服务类项目）</w:t>
            </w:r>
            <w:r>
              <w:rPr>
                <w:rFonts w:hint="eastAsia" w:ascii="宋体" w:hAnsi="宋体" w:eastAsia="宋体" w:cs="宋体"/>
                <w:spacing w:val="0"/>
              </w:rPr>
              <w:t>。</w:t>
            </w:r>
          </w:p>
        </w:tc>
      </w:tr>
      <w:tr w14:paraId="230A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7E34BF29">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12</w:t>
            </w:r>
          </w:p>
        </w:tc>
        <w:tc>
          <w:tcPr>
            <w:tcW w:w="1584" w:type="dxa"/>
            <w:tcBorders>
              <w:tl2br w:val="nil"/>
              <w:tr2bl w:val="nil"/>
            </w:tcBorders>
            <w:shd w:val="clear" w:color="auto" w:fill="auto"/>
            <w:tcMar>
              <w:top w:w="0" w:type="dxa"/>
              <w:left w:w="105" w:type="dxa"/>
              <w:bottom w:w="0" w:type="dxa"/>
              <w:right w:w="105" w:type="dxa"/>
            </w:tcMar>
            <w:vAlign w:val="center"/>
          </w:tcPr>
          <w:p w14:paraId="442C67B4">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18.1</w:t>
            </w:r>
          </w:p>
        </w:tc>
        <w:tc>
          <w:tcPr>
            <w:tcW w:w="6336" w:type="dxa"/>
            <w:tcBorders>
              <w:tl2br w:val="nil"/>
              <w:tr2bl w:val="nil"/>
            </w:tcBorders>
            <w:shd w:val="clear" w:color="auto" w:fill="auto"/>
            <w:tcMar>
              <w:top w:w="0" w:type="dxa"/>
              <w:left w:w="105" w:type="dxa"/>
              <w:bottom w:w="0" w:type="dxa"/>
              <w:right w:w="105" w:type="dxa"/>
            </w:tcMar>
            <w:vAlign w:val="center"/>
          </w:tcPr>
          <w:p w14:paraId="1613CBDF">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财政部和福建省财政厅指定的政府采购信息发布媒体（以下简称：“指定媒体”）：</w:t>
            </w:r>
          </w:p>
          <w:p w14:paraId="4CC9768C">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（1）中国政府采购网，网址www.ccgp.gov.cn</w:t>
            </w:r>
            <w:r>
              <w:t>。</w:t>
            </w:r>
          </w:p>
          <w:p w14:paraId="0CE3F146">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（2）中国政府采购网福建分网（福建省政府采购网），网址zfcg.czt.fujian.gov.cn</w:t>
            </w:r>
            <w:r>
              <w:t>。</w:t>
            </w:r>
          </w:p>
          <w:p w14:paraId="18EBB9B3">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※除招标文件第一章第</w:t>
            </w:r>
            <w:r>
              <w:rPr>
                <w:rStyle w:val="8"/>
                <w:rFonts w:hint="default" w:ascii="Times New Roman" w:hAnsi="Times New Roman" w:cs="Times New Roman"/>
                <w:b/>
                <w:spacing w:val="0"/>
                <w:sz w:val="24"/>
                <w:szCs w:val="24"/>
              </w:rPr>
              <w:t>11.1</w:t>
            </w:r>
            <w:r>
              <w:rPr>
                <w:rStyle w:val="8"/>
                <w:rFonts w:hint="eastAsia" w:ascii="宋体" w:hAnsi="宋体" w:eastAsia="宋体" w:cs="宋体"/>
                <w:b/>
                <w:spacing w:val="0"/>
                <w:sz w:val="24"/>
                <w:szCs w:val="24"/>
              </w:rPr>
              <w:t>条规定情形外，若出现上述指定媒体信息不一致情形，应以中国政府采购网福建分网（福建省政府采购网）发布的为准。</w:t>
            </w:r>
          </w:p>
        </w:tc>
      </w:tr>
      <w:tr w14:paraId="5836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596" w:type="dxa"/>
            <w:tcBorders>
              <w:tl2br w:val="nil"/>
              <w:tr2bl w:val="nil"/>
            </w:tcBorders>
            <w:shd w:val="clear" w:color="auto" w:fill="auto"/>
            <w:tcMar>
              <w:top w:w="0" w:type="dxa"/>
              <w:left w:w="105" w:type="dxa"/>
              <w:bottom w:w="0" w:type="dxa"/>
              <w:right w:w="105" w:type="dxa"/>
            </w:tcMar>
            <w:vAlign w:val="center"/>
          </w:tcPr>
          <w:p w14:paraId="00CB9AFD">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13</w:t>
            </w:r>
          </w:p>
        </w:tc>
        <w:tc>
          <w:tcPr>
            <w:tcW w:w="1584" w:type="dxa"/>
            <w:tcBorders>
              <w:tl2br w:val="nil"/>
              <w:tr2bl w:val="nil"/>
            </w:tcBorders>
            <w:shd w:val="clear" w:color="auto" w:fill="auto"/>
            <w:tcMar>
              <w:top w:w="0" w:type="dxa"/>
              <w:left w:w="105" w:type="dxa"/>
              <w:bottom w:w="0" w:type="dxa"/>
              <w:right w:w="105" w:type="dxa"/>
            </w:tcMar>
            <w:vAlign w:val="center"/>
          </w:tcPr>
          <w:p w14:paraId="17B2B622">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19</w:t>
            </w:r>
          </w:p>
        </w:tc>
        <w:tc>
          <w:tcPr>
            <w:tcW w:w="6336" w:type="dxa"/>
            <w:tcBorders>
              <w:tl2br w:val="nil"/>
              <w:tr2bl w:val="nil"/>
            </w:tcBorders>
            <w:shd w:val="clear" w:color="auto" w:fill="auto"/>
            <w:tcMar>
              <w:top w:w="0" w:type="dxa"/>
              <w:left w:w="105" w:type="dxa"/>
              <w:bottom w:w="0" w:type="dxa"/>
              <w:right w:w="105" w:type="dxa"/>
            </w:tcMar>
            <w:vAlign w:val="center"/>
          </w:tcPr>
          <w:p w14:paraId="5863928C">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其他事项：</w:t>
            </w:r>
          </w:p>
          <w:p w14:paraId="708CECA7">
            <w:pPr>
              <w:pStyle w:val="5"/>
              <w:keepNext w:val="0"/>
              <w:keepLines w:val="0"/>
              <w:widowControl/>
              <w:suppressLineNumbers w:val="0"/>
              <w:wordWrap w:val="0"/>
              <w:spacing w:before="0" w:beforeAutospacing="0" w:after="0" w:afterAutospacing="0"/>
              <w:ind w:left="0" w:right="0"/>
            </w:pPr>
            <w:r>
              <w:rPr>
                <w:rStyle w:val="8"/>
                <w:rFonts w:hint="eastAsia" w:ascii="宋体" w:hAnsi="宋体" w:eastAsia="宋体" w:cs="宋体"/>
                <w:b/>
                <w:spacing w:val="0"/>
                <w:sz w:val="24"/>
                <w:szCs w:val="24"/>
              </w:rPr>
              <w:t>(1)本项目代理服务费由</w:t>
            </w:r>
            <w:r>
              <w:rPr>
                <w:rFonts w:hint="eastAsia" w:ascii="宋体" w:hAnsi="宋体" w:eastAsia="宋体" w:cs="宋体"/>
                <w:b/>
                <w:spacing w:val="0"/>
                <w:sz w:val="24"/>
                <w:szCs w:val="24"/>
              </w:rPr>
              <w:t>中标人</w:t>
            </w:r>
            <w:r>
              <w:rPr>
                <w:rStyle w:val="8"/>
                <w:rFonts w:hint="eastAsia" w:ascii="宋体" w:hAnsi="宋体" w:eastAsia="宋体" w:cs="宋体"/>
                <w:b/>
                <w:spacing w:val="0"/>
                <w:sz w:val="24"/>
                <w:szCs w:val="24"/>
              </w:rPr>
              <w:t>支付。</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(2)其他：</w:t>
            </w:r>
            <w:r>
              <w:rPr>
                <w:rFonts w:hint="eastAsia" w:ascii="宋体" w:hAnsi="宋体" w:eastAsia="宋体" w:cs="宋体"/>
                <w:b/>
                <w:spacing w:val="0"/>
                <w:sz w:val="24"/>
                <w:szCs w:val="24"/>
              </w:rPr>
              <w:t>投标文件将被拒收、投标将被拒绝、投标无效及废标条款：具体内容详见招标文件各章节，请各投标人认真查看对照。 ①　第一章投标邀请第7.2、9.2条款； ②　第二章投标人须知前附表序号6的编列内容，第二章投标人须知表2关于投标无效的规定； ③　第三章投标人须知第9.2、9.3、9.4、9.5、9.6、9.7、10.6（1）、10.6（3）、10.8（2）、10.9、10.1</w:t>
            </w:r>
            <w:r>
              <w:rPr>
                <w:rFonts w:hint="eastAsia" w:ascii="宋体" w:hAnsi="宋体" w:eastAsia="宋体" w:cs="宋体"/>
                <w:b/>
                <w:spacing w:val="0"/>
                <w:sz w:val="24"/>
                <w:szCs w:val="24"/>
                <w:lang w:val="en-US" w:eastAsia="zh-CN"/>
              </w:rPr>
              <w:t>1</w:t>
            </w:r>
            <w:r>
              <w:rPr>
                <w:rFonts w:hint="eastAsia" w:ascii="宋体" w:hAnsi="宋体" w:eastAsia="宋体" w:cs="宋体"/>
                <w:b/>
                <w:spacing w:val="0"/>
                <w:sz w:val="24"/>
                <w:szCs w:val="24"/>
              </w:rPr>
              <w:t>、10.1</w:t>
            </w:r>
            <w:r>
              <w:rPr>
                <w:rFonts w:hint="eastAsia" w:ascii="宋体" w:hAnsi="宋体" w:eastAsia="宋体" w:cs="宋体"/>
                <w:b/>
                <w:spacing w:val="0"/>
                <w:sz w:val="24"/>
                <w:szCs w:val="24"/>
                <w:lang w:val="en-US" w:eastAsia="zh-CN"/>
              </w:rPr>
              <w:t>2</w:t>
            </w:r>
            <w:r>
              <w:rPr>
                <w:rFonts w:hint="eastAsia" w:ascii="宋体" w:hAnsi="宋体" w:eastAsia="宋体" w:cs="宋体"/>
                <w:b/>
                <w:spacing w:val="0"/>
                <w:sz w:val="24"/>
                <w:szCs w:val="24"/>
              </w:rPr>
              <w:t>（2）条款； 除第三章第10.5条第（2）款第③点规定情形外，投标文件散装或活页装订将导致投标无效。④　第四章资格审查与评标中第1.4、6.2（6）、6.3（3）、6.4、6.7、6.9、6.10条款及7.2评标标准中关于投标无效的规定； ⑤　出现第五章招标内容及要求中投标无效规定的； ⑥　出现第七章投标文件格式中投标无效规定的。⑦ 以及未在本表中列明的招标文件其他地方规定的条款；</w:t>
            </w:r>
          </w:p>
        </w:tc>
      </w:tr>
      <w:tr w14:paraId="5FCB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2180" w:type="dxa"/>
            <w:gridSpan w:val="2"/>
            <w:tcBorders>
              <w:tl2br w:val="nil"/>
              <w:tr2bl w:val="nil"/>
            </w:tcBorders>
            <w:shd w:val="clear" w:color="auto" w:fill="auto"/>
            <w:tcMar>
              <w:top w:w="75" w:type="dxa"/>
              <w:left w:w="150" w:type="dxa"/>
              <w:bottom w:w="75" w:type="dxa"/>
              <w:right w:w="150" w:type="dxa"/>
            </w:tcMar>
            <w:vAlign w:val="center"/>
          </w:tcPr>
          <w:p w14:paraId="1413ACC1">
            <w:pPr>
              <w:pStyle w:val="5"/>
              <w:keepNext w:val="0"/>
              <w:keepLines w:val="0"/>
              <w:widowControl/>
              <w:suppressLineNumbers w:val="0"/>
              <w:spacing w:before="0" w:beforeAutospacing="0" w:after="0" w:afterAutospacing="0"/>
              <w:ind w:left="0" w:right="0" w:firstLine="0"/>
            </w:pPr>
            <w:r>
              <w:rPr>
                <w:rFonts w:hint="eastAsia" w:ascii="宋体" w:hAnsi="宋体" w:eastAsia="宋体" w:cs="宋体"/>
                <w:spacing w:val="0"/>
                <w:sz w:val="24"/>
                <w:szCs w:val="24"/>
              </w:rPr>
              <w:t>     备注</w:t>
            </w:r>
          </w:p>
        </w:tc>
        <w:tc>
          <w:tcPr>
            <w:tcW w:w="6336" w:type="dxa"/>
            <w:tcBorders>
              <w:tl2br w:val="nil"/>
              <w:tr2bl w:val="nil"/>
            </w:tcBorders>
            <w:shd w:val="clear" w:color="auto" w:fill="auto"/>
            <w:tcMar>
              <w:top w:w="75" w:type="dxa"/>
              <w:left w:w="150" w:type="dxa"/>
              <w:bottom w:w="75" w:type="dxa"/>
              <w:right w:w="150" w:type="dxa"/>
            </w:tcMar>
            <w:vAlign w:val="center"/>
          </w:tcPr>
          <w:p w14:paraId="594410FD">
            <w:pPr>
              <w:pStyle w:val="5"/>
              <w:keepNext w:val="0"/>
              <w:keepLines w:val="0"/>
              <w:widowControl/>
              <w:suppressLineNumbers w:val="0"/>
              <w:spacing w:before="0" w:beforeAutospacing="0" w:after="0" w:afterAutospacing="0"/>
              <w:ind w:left="0" w:right="0" w:firstLine="0"/>
            </w:pPr>
            <w:r>
              <w:rPr>
                <w:rStyle w:val="8"/>
                <w:rFonts w:hint="eastAsia" w:ascii="宋体" w:hAnsi="宋体" w:eastAsia="宋体" w:cs="宋体"/>
                <w:b/>
                <w:spacing w:val="0"/>
                <w:sz w:val="24"/>
                <w:szCs w:val="24"/>
              </w:rPr>
              <w:t>后有表</w:t>
            </w:r>
            <w:r>
              <w:rPr>
                <w:rStyle w:val="8"/>
                <w:rFonts w:hint="default" w:ascii="Times New Roman" w:hAnsi="Times New Roman" w:cs="Times New Roman"/>
                <w:b/>
                <w:spacing w:val="0"/>
                <w:sz w:val="24"/>
                <w:szCs w:val="24"/>
              </w:rPr>
              <w:t>2</w:t>
            </w:r>
            <w:r>
              <w:rPr>
                <w:rStyle w:val="8"/>
                <w:rFonts w:hint="eastAsia" w:ascii="宋体" w:hAnsi="宋体" w:eastAsia="宋体" w:cs="宋体"/>
                <w:b/>
                <w:spacing w:val="0"/>
                <w:sz w:val="24"/>
                <w:szCs w:val="24"/>
              </w:rPr>
              <w:t>，请勿遗漏。</w:t>
            </w:r>
          </w:p>
        </w:tc>
      </w:tr>
    </w:tbl>
    <w:p w14:paraId="33933ECE">
      <w:pPr>
        <w:pStyle w:val="5"/>
        <w:keepNext w:val="0"/>
        <w:keepLines w:val="0"/>
        <w:widowControl/>
        <w:suppressLineNumbers w:val="0"/>
        <w:spacing w:before="75" w:beforeAutospacing="0" w:after="75" w:afterAutospacing="0"/>
        <w:ind w:left="0" w:right="0" w:firstLine="0"/>
      </w:pPr>
      <w:r>
        <w:rPr>
          <w:spacing w:val="0"/>
          <w:sz w:val="24"/>
          <w:szCs w:val="24"/>
        </w:rPr>
        <w:t> </w:t>
      </w:r>
    </w:p>
    <w:p w14:paraId="3C1DA84D">
      <w:pPr>
        <w:pStyle w:val="5"/>
        <w:keepNext w:val="0"/>
        <w:keepLines w:val="0"/>
        <w:widowControl/>
        <w:suppressLineNumbers w:val="0"/>
        <w:spacing w:before="75" w:beforeAutospacing="0" w:after="75" w:afterAutospacing="0"/>
        <w:ind w:left="0" w:right="0" w:firstLine="0"/>
      </w:pPr>
      <w:r>
        <w:rPr>
          <w:spacing w:val="0"/>
          <w:sz w:val="24"/>
          <w:szCs w:val="24"/>
        </w:rPr>
        <w:t> </w:t>
      </w:r>
    </w:p>
    <w:p w14:paraId="68321B0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608EF91">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34C093B">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6006FE36">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A564562">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2B0808D">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6FE5D0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4C2CDC27">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7470B43">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C369EA6">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11C4C38">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5CF3BA4">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6B0A41C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表2</w:t>
      </w:r>
    </w:p>
    <w:tbl>
      <w:tblPr>
        <w:tblStyle w:val="6"/>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80"/>
        <w:gridCol w:w="8036"/>
      </w:tblGrid>
      <w:tr w14:paraId="4FA2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8516" w:type="dxa"/>
            <w:gridSpan w:val="2"/>
            <w:tcBorders>
              <w:tl2br w:val="nil"/>
              <w:tr2bl w:val="nil"/>
            </w:tcBorders>
            <w:shd w:val="clear" w:color="auto" w:fill="auto"/>
            <w:tcMar>
              <w:top w:w="0" w:type="dxa"/>
              <w:left w:w="105" w:type="dxa"/>
              <w:bottom w:w="0" w:type="dxa"/>
              <w:right w:w="105" w:type="dxa"/>
            </w:tcMar>
            <w:vAlign w:val="center"/>
          </w:tcPr>
          <w:p w14:paraId="09CFE950">
            <w:pPr>
              <w:pStyle w:val="5"/>
              <w:keepNext w:val="0"/>
              <w:keepLines w:val="0"/>
              <w:widowControl/>
              <w:suppressLineNumbers w:val="0"/>
              <w:spacing w:before="0" w:beforeAutospacing="0" w:after="0" w:afterAutospacing="0"/>
              <w:ind w:left="0" w:right="0"/>
              <w:jc w:val="center"/>
            </w:pPr>
            <w:r>
              <w:rPr>
                <w:rStyle w:val="8"/>
                <w:rFonts w:hint="eastAsia" w:ascii="宋体" w:hAnsi="宋体" w:eastAsia="宋体" w:cs="宋体"/>
                <w:b/>
                <w:spacing w:val="0"/>
                <w:sz w:val="24"/>
                <w:szCs w:val="24"/>
              </w:rPr>
              <w:t>关于电子招标投标活动的专门规定</w:t>
            </w:r>
          </w:p>
        </w:tc>
      </w:tr>
      <w:tr w14:paraId="2A58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480" w:type="dxa"/>
            <w:tcBorders>
              <w:tl2br w:val="nil"/>
              <w:tr2bl w:val="nil"/>
            </w:tcBorders>
            <w:shd w:val="clear" w:color="auto" w:fill="auto"/>
            <w:tcMar>
              <w:top w:w="0" w:type="dxa"/>
              <w:left w:w="105" w:type="dxa"/>
              <w:bottom w:w="0" w:type="dxa"/>
              <w:right w:w="105" w:type="dxa"/>
            </w:tcMar>
            <w:vAlign w:val="center"/>
          </w:tcPr>
          <w:p w14:paraId="5B4893DC">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序号</w:t>
            </w:r>
          </w:p>
        </w:tc>
        <w:tc>
          <w:tcPr>
            <w:tcW w:w="8036" w:type="dxa"/>
            <w:tcBorders>
              <w:tl2br w:val="nil"/>
              <w:tr2bl w:val="nil"/>
            </w:tcBorders>
            <w:shd w:val="clear" w:color="auto" w:fill="auto"/>
            <w:tcMar>
              <w:top w:w="0" w:type="dxa"/>
              <w:left w:w="105" w:type="dxa"/>
              <w:bottom w:w="0" w:type="dxa"/>
              <w:right w:w="105" w:type="dxa"/>
            </w:tcMar>
            <w:vAlign w:val="center"/>
          </w:tcPr>
          <w:p w14:paraId="7BD1931F">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编列内容</w:t>
            </w:r>
          </w:p>
        </w:tc>
      </w:tr>
      <w:tr w14:paraId="651C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480" w:type="dxa"/>
            <w:tcBorders>
              <w:tl2br w:val="nil"/>
              <w:tr2bl w:val="nil"/>
            </w:tcBorders>
            <w:shd w:val="clear" w:color="auto" w:fill="auto"/>
            <w:tcMar>
              <w:top w:w="0" w:type="dxa"/>
              <w:left w:w="105" w:type="dxa"/>
              <w:bottom w:w="0" w:type="dxa"/>
              <w:right w:w="105" w:type="dxa"/>
            </w:tcMar>
            <w:vAlign w:val="center"/>
          </w:tcPr>
          <w:p w14:paraId="679DDB40">
            <w:pPr>
              <w:pStyle w:val="5"/>
              <w:keepNext w:val="0"/>
              <w:keepLines w:val="0"/>
              <w:widowControl/>
              <w:suppressLineNumbers w:val="0"/>
              <w:spacing w:before="0" w:beforeAutospacing="0" w:after="0" w:afterAutospacing="0"/>
              <w:ind w:left="0" w:right="0"/>
              <w:jc w:val="center"/>
            </w:pPr>
            <w:r>
              <w:rPr>
                <w:rFonts w:hint="eastAsia" w:ascii="宋体" w:hAnsi="宋体" w:eastAsia="宋体" w:cs="宋体"/>
                <w:spacing w:val="0"/>
                <w:sz w:val="24"/>
                <w:szCs w:val="24"/>
              </w:rPr>
              <w:t>1</w:t>
            </w:r>
          </w:p>
        </w:tc>
        <w:tc>
          <w:tcPr>
            <w:tcW w:w="8036" w:type="dxa"/>
            <w:tcBorders>
              <w:tl2br w:val="nil"/>
              <w:tr2bl w:val="nil"/>
            </w:tcBorders>
            <w:shd w:val="clear" w:color="auto" w:fill="auto"/>
            <w:tcMar>
              <w:top w:w="0" w:type="dxa"/>
              <w:left w:w="105" w:type="dxa"/>
              <w:bottom w:w="0" w:type="dxa"/>
              <w:right w:w="105" w:type="dxa"/>
            </w:tcMar>
            <w:vAlign w:val="center"/>
          </w:tcPr>
          <w:p w14:paraId="7A71C47F">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（1）招标文件中除下述第（</w:t>
            </w:r>
            <w:r>
              <w:rPr>
                <w:rFonts w:hint="default" w:ascii="Calibri" w:hAnsi="Calibri" w:cs="Calibri"/>
                <w:spacing w:val="0"/>
                <w:sz w:val="24"/>
                <w:szCs w:val="24"/>
              </w:rPr>
              <w:t>2</w:t>
            </w:r>
            <w:r>
              <w:rPr>
                <w:rFonts w:hint="eastAsia" w:ascii="宋体" w:hAnsi="宋体" w:eastAsia="宋体" w:cs="宋体"/>
                <w:spacing w:val="0"/>
                <w:sz w:val="24"/>
                <w:szCs w:val="24"/>
              </w:rPr>
              <w:t>）、（</w:t>
            </w:r>
            <w:r>
              <w:rPr>
                <w:rFonts w:hint="default" w:ascii="Calibri" w:hAnsi="Calibri" w:cs="Calibri"/>
                <w:spacing w:val="0"/>
                <w:sz w:val="24"/>
                <w:szCs w:val="24"/>
              </w:rPr>
              <w:t>3</w:t>
            </w:r>
            <w:r>
              <w:rPr>
                <w:rFonts w:hint="eastAsia" w:ascii="宋体" w:hAnsi="宋体" w:eastAsia="宋体" w:cs="宋体"/>
                <w:spacing w:val="0"/>
                <w:sz w:val="24"/>
                <w:szCs w:val="24"/>
              </w:rPr>
              <w:t>）款所述内容外的其他内容及规定适用本项目的电子招标投标活动。</w:t>
            </w:r>
          </w:p>
          <w:p w14:paraId="3EA25795">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（2）将招标文件</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的内容</w:t>
            </w:r>
            <w:r>
              <w:rPr>
                <w:rStyle w:val="8"/>
                <w:rFonts w:hint="eastAsia" w:ascii="宋体" w:hAnsi="宋体" w:eastAsia="宋体" w:cs="宋体"/>
                <w:b/>
                <w:spacing w:val="0"/>
                <w:sz w:val="24"/>
                <w:szCs w:val="24"/>
              </w:rPr>
              <w:t>修正为</w:t>
            </w:r>
            <w:r>
              <w:rPr>
                <w:rFonts w:hint="eastAsia" w:ascii="宋体" w:hAnsi="宋体" w:eastAsia="宋体" w:cs="宋体"/>
                <w:spacing w:val="0"/>
                <w:sz w:val="24"/>
                <w:szCs w:val="24"/>
              </w:rPr>
              <w:t>下列内容：</w:t>
            </w:r>
            <w:r>
              <w:rPr>
                <w:rFonts w:hint="eastAsia" w:ascii="宋体" w:hAnsi="宋体" w:eastAsia="宋体" w:cs="宋体"/>
                <w:spacing w:val="0"/>
                <w:sz w:val="24"/>
                <w:szCs w:val="24"/>
                <w:u w:val="single"/>
              </w:rPr>
              <w:t>无</w:t>
            </w:r>
            <w:r>
              <w:rPr>
                <w:rFonts w:hint="eastAsia" w:ascii="宋体" w:hAnsi="宋体" w:eastAsia="宋体" w:cs="宋体"/>
                <w:spacing w:val="0"/>
                <w:sz w:val="24"/>
                <w:szCs w:val="24"/>
              </w:rPr>
              <w:t>后适用本项目的电子招标投标活动。</w:t>
            </w:r>
          </w:p>
          <w:p w14:paraId="6FD3A14E">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（3）将下列内容</w:t>
            </w:r>
            <w:r>
              <w:rPr>
                <w:rStyle w:val="8"/>
                <w:rFonts w:hint="eastAsia" w:ascii="宋体" w:hAnsi="宋体" w:eastAsia="宋体" w:cs="宋体"/>
                <w:b/>
                <w:spacing w:val="0"/>
                <w:sz w:val="24"/>
                <w:szCs w:val="24"/>
              </w:rPr>
              <w:t>增列为</w:t>
            </w:r>
            <w:r>
              <w:rPr>
                <w:rFonts w:hint="eastAsia" w:ascii="宋体" w:hAnsi="宋体" w:eastAsia="宋体" w:cs="宋体"/>
                <w:spacing w:val="0"/>
                <w:sz w:val="24"/>
                <w:szCs w:val="24"/>
              </w:rPr>
              <w:t>招标文件的组成部分（以下简称：“增列内容”）适用本项目的电子招标投标活动，若增列内容与招标文件其他章节内容有冲突，应以增列内容为准：</w:t>
            </w:r>
          </w:p>
          <w:p w14:paraId="01A9BC21">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①电子招标投标活动的具体操作流程以福建省政府采购网上公开信息系统设定的为准。</w:t>
            </w:r>
          </w:p>
          <w:p w14:paraId="73F73A07">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②关于投标文件：</w:t>
            </w:r>
          </w:p>
          <w:p w14:paraId="7BA08EF7">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a.投标人应按照福建省政府采购网上公开信息系统设定的评审节点编制电子投标文件，否则</w:t>
            </w:r>
            <w:r>
              <w:rPr>
                <w:rStyle w:val="8"/>
                <w:rFonts w:hint="eastAsia" w:ascii="宋体" w:hAnsi="宋体" w:eastAsia="宋体" w:cs="宋体"/>
                <w:b/>
                <w:spacing w:val="0"/>
                <w:sz w:val="24"/>
                <w:szCs w:val="24"/>
              </w:rPr>
              <w:t>资格审查小组、评标委员会将按照不利于投标人的内容进行认定。</w:t>
            </w:r>
          </w:p>
          <w:p w14:paraId="09279312">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b.投标人应在投标截止时间前按照福建省政府采购网上公开信息系统设定的操作流程将电子投标文件</w:t>
            </w:r>
            <w:r>
              <w:rPr>
                <w:rStyle w:val="8"/>
                <w:rFonts w:hint="eastAsia" w:ascii="宋体" w:hAnsi="宋体" w:eastAsia="宋体" w:cs="宋体"/>
                <w:b/>
                <w:spacing w:val="0"/>
                <w:sz w:val="24"/>
                <w:szCs w:val="24"/>
                <w:u w:val="single"/>
              </w:rPr>
              <w:t>1</w:t>
            </w:r>
            <w:r>
              <w:rPr>
                <w:rFonts w:hint="eastAsia" w:ascii="宋体" w:hAnsi="宋体" w:eastAsia="宋体" w:cs="宋体"/>
                <w:spacing w:val="0"/>
                <w:sz w:val="24"/>
                <w:szCs w:val="24"/>
              </w:rPr>
              <w:t>份上传至福建省政府采购网上公开信息系统，电子投标文件应与纸质投标文件保持一致，并以电子投标文件为准。电子投标文件的分项报价一览表、纸质投标文件的分项报价一览表、投标客户端的分项报价一览表应保持一致，并以投标客户端的分项报价一览表为准。</w:t>
            </w:r>
          </w:p>
          <w:p w14:paraId="5147D40F">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c.若出现福建省政府采购网上公开信息系统设定的意外情形（如：系统故障等），经本项目监督管理部门同意使用纸质投标文件的，应以纸质投标文件为准。</w:t>
            </w:r>
          </w:p>
          <w:p w14:paraId="4CCE9557">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③关于证明材料或资料：</w:t>
            </w:r>
          </w:p>
          <w:p w14:paraId="43122059">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a.除《检察机关行贿犯罪档案查询结果告知函》外，招标文件要求原件的，投标人在电子投标文件中可提供复印件（含扫描件），但在纸质投标文件正本中应提供原件</w:t>
            </w:r>
            <w:r>
              <w:rPr>
                <w:rStyle w:val="8"/>
                <w:rFonts w:hint="eastAsia" w:ascii="宋体" w:hAnsi="宋体" w:eastAsia="宋体" w:cs="宋体"/>
                <w:b/>
                <w:sz w:val="24"/>
                <w:szCs w:val="24"/>
              </w:rPr>
              <w:t>（资格审查小组、评标委员会将核对纸质投标文件正本，未提供原件的证明材料或资料将导致投标无效）</w:t>
            </w:r>
            <w:r>
              <w:rPr>
                <w:rFonts w:hint="eastAsia" w:ascii="宋体" w:hAnsi="宋体" w:eastAsia="宋体" w:cs="宋体"/>
                <w:sz w:val="24"/>
                <w:szCs w:val="24"/>
              </w:rPr>
              <w:t>；招标文件要求复印件的，投标人在纸质投标文件中提供原件、复印件（含扫描件）皆可；招标文件对原件、复印件未作要求的，投标人在纸质投标文件中提供原件、复印件（含扫描件）皆可。</w:t>
            </w:r>
          </w:p>
          <w:p w14:paraId="1B819682">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b.除《检察机关行贿犯罪档案查询结果告知函》外，若投标人提供注明“复印件无效”的证明材料或资料，其纸质投标文件正本中应提供原件</w:t>
            </w:r>
            <w:r>
              <w:rPr>
                <w:rStyle w:val="8"/>
                <w:rFonts w:hint="eastAsia" w:ascii="宋体" w:hAnsi="宋体" w:eastAsia="宋体" w:cs="宋体"/>
                <w:b/>
                <w:sz w:val="24"/>
                <w:szCs w:val="24"/>
              </w:rPr>
              <w:t>（资格审查小组、评标委员会将核对纸质投标文件正本，未提供原件的证明材料或资料将导致投标无效）。</w:t>
            </w:r>
          </w:p>
          <w:p w14:paraId="2C7BCFA0">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c.《检察机关行贿犯罪档案查询结果告知函》</w:t>
            </w:r>
          </w:p>
          <w:p w14:paraId="472F6427">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1投标人在电子投标文件中可提供复印件（含扫描件）、符合招标文件第七章规定的打印件（或截图），在纸质投标文件正本中提供原件、复印件（含扫描件）、符合招标文件第七章规定的打印件（或截图）皆可。</w:t>
            </w:r>
          </w:p>
          <w:p w14:paraId="2B1C444B">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c2《检察机关行贿犯罪档案查询结果告知函》应在有效期内且内容完整、清晰、整洁，否则</w:t>
            </w:r>
            <w:r>
              <w:rPr>
                <w:rStyle w:val="8"/>
                <w:rFonts w:hint="eastAsia" w:ascii="宋体" w:hAnsi="宋体" w:eastAsia="宋体" w:cs="宋体"/>
                <w:b/>
                <w:sz w:val="24"/>
                <w:szCs w:val="24"/>
              </w:rPr>
              <w:t>投标无效。</w:t>
            </w:r>
          </w:p>
          <w:p w14:paraId="3B5182D6">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c3有效期内的《检察机关行贿犯罪档案查询结果告知函》复印件（含扫描件）及符合招标文件第七章规定的打印件（或截图），无论内容中是否注明“复印件无效”，</w:t>
            </w:r>
            <w:r>
              <w:rPr>
                <w:rStyle w:val="8"/>
                <w:rFonts w:hint="eastAsia" w:ascii="宋体" w:hAnsi="宋体" w:eastAsia="宋体" w:cs="宋体"/>
                <w:b/>
                <w:sz w:val="24"/>
                <w:szCs w:val="24"/>
              </w:rPr>
              <w:t>均视同有效。</w:t>
            </w:r>
          </w:p>
          <w:p w14:paraId="5911125C">
            <w:pPr>
              <w:pStyle w:val="5"/>
              <w:keepNext w:val="0"/>
              <w:keepLines w:val="0"/>
              <w:widowControl/>
              <w:suppressLineNumbers w:val="0"/>
              <w:wordWrap w:val="0"/>
              <w:spacing w:before="0" w:beforeAutospacing="0" w:after="0" w:afterAutospacing="0"/>
              <w:ind w:left="0" w:right="0"/>
            </w:pPr>
          </w:p>
          <w:p w14:paraId="48721F51">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④关于“全称”、“投标人代表签字”及“加盖单位公章”：</w:t>
            </w:r>
          </w:p>
          <w:p w14:paraId="0AB46DC7">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a.在电子投标文件中，涉及“全称”和“投标人代表签字”的内容可使用打字录入方式完成。</w:t>
            </w:r>
          </w:p>
          <w:p w14:paraId="1D57D8D3">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b.在电子投标文件中，涉及“加盖单位公章”的内容应使用投标人的</w:t>
            </w:r>
            <w:r>
              <w:rPr>
                <w:rFonts w:hint="default" w:ascii="Calibri" w:hAnsi="Calibri" w:cs="Calibri"/>
                <w:spacing w:val="0"/>
                <w:sz w:val="24"/>
                <w:szCs w:val="24"/>
              </w:rPr>
              <w:t>CA</w:t>
            </w:r>
            <w:r>
              <w:rPr>
                <w:rFonts w:hint="eastAsia" w:ascii="宋体" w:hAnsi="宋体" w:eastAsia="宋体" w:cs="宋体"/>
                <w:spacing w:val="0"/>
                <w:sz w:val="24"/>
                <w:szCs w:val="24"/>
              </w:rPr>
              <w:t>证书完成，否则</w:t>
            </w:r>
            <w:r>
              <w:rPr>
                <w:rStyle w:val="8"/>
                <w:rFonts w:hint="eastAsia" w:ascii="宋体" w:hAnsi="宋体" w:eastAsia="宋体" w:cs="宋体"/>
                <w:b/>
                <w:spacing w:val="0"/>
                <w:sz w:val="24"/>
                <w:szCs w:val="24"/>
              </w:rPr>
              <w:t>投标无效。</w:t>
            </w:r>
          </w:p>
          <w:p w14:paraId="3C2F0834">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c.在电子投标文件中，若投标人按照本增列内容第④点第</w:t>
            </w:r>
            <w:r>
              <w:rPr>
                <w:rFonts w:hint="default" w:ascii="Calibri" w:hAnsi="Calibri" w:cs="Calibri"/>
                <w:spacing w:val="0"/>
                <w:sz w:val="24"/>
                <w:szCs w:val="24"/>
              </w:rPr>
              <w:t>b</w:t>
            </w:r>
            <w:r>
              <w:rPr>
                <w:rFonts w:hint="eastAsia" w:ascii="宋体" w:hAnsi="宋体" w:eastAsia="宋体" w:cs="宋体"/>
                <w:spacing w:val="0"/>
                <w:sz w:val="24"/>
                <w:szCs w:val="24"/>
              </w:rPr>
              <w:t>项规定加盖其单位公章，则出现无全称、或投标人代表未签字等情形，</w:t>
            </w:r>
            <w:r>
              <w:rPr>
                <w:rStyle w:val="8"/>
                <w:rFonts w:hint="eastAsia" w:ascii="宋体" w:hAnsi="宋体" w:eastAsia="宋体" w:cs="宋体"/>
                <w:b/>
                <w:spacing w:val="0"/>
                <w:sz w:val="24"/>
                <w:szCs w:val="24"/>
              </w:rPr>
              <w:t>不视为投标无效。</w:t>
            </w:r>
          </w:p>
          <w:p w14:paraId="7DC04F4B">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⑤关于投标人的</w:t>
            </w:r>
            <w:r>
              <w:rPr>
                <w:rFonts w:hint="default" w:ascii="Calibri" w:hAnsi="Calibri" w:cs="Calibri"/>
                <w:spacing w:val="0"/>
                <w:sz w:val="24"/>
                <w:szCs w:val="24"/>
              </w:rPr>
              <w:t>CA</w:t>
            </w:r>
            <w:r>
              <w:rPr>
                <w:rFonts w:hint="eastAsia" w:ascii="宋体" w:hAnsi="宋体" w:eastAsia="宋体" w:cs="宋体"/>
                <w:spacing w:val="0"/>
                <w:sz w:val="24"/>
                <w:szCs w:val="24"/>
              </w:rPr>
              <w:t>证书：</w:t>
            </w:r>
          </w:p>
          <w:p w14:paraId="61B80BF4">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a.投标人的</w:t>
            </w:r>
            <w:r>
              <w:rPr>
                <w:rFonts w:hint="default" w:ascii="Calibri" w:hAnsi="Calibri" w:cs="Calibri"/>
                <w:spacing w:val="0"/>
                <w:sz w:val="24"/>
                <w:szCs w:val="24"/>
              </w:rPr>
              <w:t>CA</w:t>
            </w:r>
            <w:r>
              <w:rPr>
                <w:rFonts w:hint="eastAsia" w:ascii="宋体" w:hAnsi="宋体" w:eastAsia="宋体" w:cs="宋体"/>
                <w:spacing w:val="0"/>
                <w:sz w:val="24"/>
                <w:szCs w:val="24"/>
              </w:rPr>
              <w:t>证书应在投标截止时间前连同密封的纸质投标文件送达招标文件第一章第</w:t>
            </w:r>
            <w:r>
              <w:rPr>
                <w:rFonts w:hint="default" w:ascii="Calibri" w:hAnsi="Calibri" w:cs="Calibri"/>
                <w:spacing w:val="0"/>
                <w:sz w:val="24"/>
                <w:szCs w:val="24"/>
              </w:rPr>
              <w:t>10</w:t>
            </w:r>
            <w:r>
              <w:rPr>
                <w:rFonts w:hint="eastAsia" w:ascii="宋体" w:hAnsi="宋体" w:eastAsia="宋体" w:cs="宋体"/>
                <w:spacing w:val="0"/>
                <w:sz w:val="24"/>
                <w:szCs w:val="24"/>
              </w:rPr>
              <w:t>条载明的地点，否则</w:t>
            </w:r>
            <w:r>
              <w:rPr>
                <w:rStyle w:val="8"/>
                <w:rFonts w:hint="eastAsia" w:ascii="宋体" w:hAnsi="宋体" w:eastAsia="宋体" w:cs="宋体"/>
                <w:b/>
                <w:spacing w:val="0"/>
                <w:sz w:val="24"/>
                <w:szCs w:val="24"/>
              </w:rPr>
              <w:t>投标将被拒绝。</w:t>
            </w:r>
          </w:p>
          <w:p w14:paraId="3A508856">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b.投标人的</w:t>
            </w:r>
            <w:r>
              <w:rPr>
                <w:rFonts w:hint="default" w:ascii="Calibri" w:hAnsi="Calibri" w:cs="Calibri"/>
                <w:spacing w:val="0"/>
                <w:sz w:val="24"/>
                <w:szCs w:val="24"/>
              </w:rPr>
              <w:t>CA</w:t>
            </w:r>
            <w:r>
              <w:rPr>
                <w:rFonts w:hint="eastAsia" w:ascii="宋体" w:hAnsi="宋体" w:eastAsia="宋体" w:cs="宋体"/>
                <w:spacing w:val="0"/>
                <w:sz w:val="24"/>
                <w:szCs w:val="24"/>
              </w:rPr>
              <w:t>证书可采用信封（包括但不限于：信封、档案袋、文件袋等）作为外包装进行单独包装。外包装密封、不密封皆可。</w:t>
            </w:r>
          </w:p>
          <w:p w14:paraId="092D748E">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c.投标人的</w:t>
            </w:r>
            <w:r>
              <w:rPr>
                <w:rFonts w:hint="default" w:ascii="Calibri" w:hAnsi="Calibri" w:cs="Calibri"/>
                <w:spacing w:val="0"/>
                <w:sz w:val="24"/>
                <w:szCs w:val="24"/>
              </w:rPr>
              <w:t>CA</w:t>
            </w:r>
            <w:r>
              <w:rPr>
                <w:rFonts w:hint="eastAsia" w:ascii="宋体" w:hAnsi="宋体" w:eastAsia="宋体" w:cs="宋体"/>
                <w:spacing w:val="0"/>
                <w:sz w:val="24"/>
                <w:szCs w:val="24"/>
              </w:rPr>
              <w:t>证书或外包装应标记“项目名称、招标编号、投标人的全称”等内容，以方便识别、使用。</w:t>
            </w:r>
          </w:p>
          <w:p w14:paraId="1475CF5D">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d.投标人的</w:t>
            </w:r>
            <w:r>
              <w:rPr>
                <w:rFonts w:hint="default" w:ascii="Calibri" w:hAnsi="Calibri" w:cs="Calibri"/>
                <w:spacing w:val="0"/>
                <w:sz w:val="24"/>
                <w:szCs w:val="24"/>
              </w:rPr>
              <w:t>CA</w:t>
            </w:r>
            <w:r>
              <w:rPr>
                <w:rFonts w:hint="eastAsia" w:ascii="宋体" w:hAnsi="宋体" w:eastAsia="宋体" w:cs="宋体"/>
                <w:spacing w:val="0"/>
                <w:sz w:val="24"/>
                <w:szCs w:val="24"/>
              </w:rPr>
              <w:t>证书应能正常、有效使用，否则产生不利后果由投标人承担责任。</w:t>
            </w:r>
          </w:p>
          <w:p w14:paraId="6782AF9E">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⑥关于投标截止时间过后</w:t>
            </w:r>
          </w:p>
          <w:p w14:paraId="6EE34333">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a.被福建省政府采购网上公开信息系统判定为投标保证金未提交（即未于投标截止时间前到达招标文件载明的投标保证金账户）的投标人，</w:t>
            </w:r>
            <w:r>
              <w:rPr>
                <w:rStyle w:val="8"/>
                <w:rFonts w:hint="eastAsia" w:ascii="宋体" w:hAnsi="宋体" w:eastAsia="宋体" w:cs="宋体"/>
                <w:b/>
                <w:spacing w:val="0"/>
                <w:sz w:val="24"/>
                <w:szCs w:val="24"/>
              </w:rPr>
              <w:t>投标将被拒绝。</w:t>
            </w:r>
          </w:p>
          <w:p w14:paraId="1C27526B">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b.有下列情形之一的，其</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,其保证金不予退还：</w:t>
            </w:r>
          </w:p>
          <w:p w14:paraId="09A06A94">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b1不同投标人的电子投标文件被福建省政府采购网上公开信息系统判定为具有相同内部识别码；</w:t>
            </w:r>
          </w:p>
          <w:p w14:paraId="429B77F2">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b2不同投标人的投标保证金被福建省政府采购网上公开信息系统判定为从同一单位或个人的账户转出；</w:t>
            </w:r>
          </w:p>
          <w:p w14:paraId="65694B41">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b3投标人的投标保证金被福建省政府采购网上公开信息系统判定为同一合同项下有其他投标人提交的投标保证金</w:t>
            </w:r>
          </w:p>
          <w:p w14:paraId="40BC3FBD">
            <w:pPr>
              <w:pStyle w:val="5"/>
              <w:keepNext w:val="0"/>
              <w:keepLines w:val="0"/>
              <w:widowControl/>
              <w:suppressLineNumbers w:val="0"/>
              <w:wordWrap w:val="0"/>
              <w:spacing w:before="0" w:beforeAutospacing="0" w:after="150" w:afterAutospacing="0"/>
              <w:ind w:left="0" w:right="0"/>
            </w:pPr>
            <w:r>
              <w:rPr>
                <w:rFonts w:hint="eastAsia" w:ascii="宋体" w:hAnsi="宋体" w:eastAsia="宋体" w:cs="宋体"/>
                <w:sz w:val="24"/>
                <w:szCs w:val="24"/>
              </w:rPr>
              <w:t>b4不同投标人被福建省政府采购网上公开信息系统判定为串通投标的其他情形。</w:t>
            </w:r>
          </w:p>
          <w:p w14:paraId="0017B411">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⑦接受联合体投标且投标人为联合体的，投标人应由“联合体牵头方”完成福建省政府采购网上公开信息系统设定的具体操作流程（包括但不限于：报名、提交投标保证金、编制电子投标文件等）。</w:t>
            </w:r>
          </w:p>
          <w:p w14:paraId="54FE0B6B">
            <w:pPr>
              <w:pStyle w:val="5"/>
              <w:keepNext w:val="0"/>
              <w:keepLines w:val="0"/>
              <w:widowControl/>
              <w:suppressLineNumbers w:val="0"/>
              <w:wordWrap w:val="0"/>
              <w:spacing w:before="0" w:beforeAutospacing="0" w:after="0" w:afterAutospacing="0"/>
              <w:ind w:left="0" w:right="0"/>
            </w:pPr>
            <w:r>
              <w:rPr>
                <w:rFonts w:hint="eastAsia" w:ascii="宋体" w:hAnsi="宋体" w:eastAsia="宋体" w:cs="宋体"/>
                <w:spacing w:val="0"/>
                <w:sz w:val="24"/>
                <w:szCs w:val="24"/>
              </w:rPr>
              <w:t>⑧其他：</w:t>
            </w:r>
            <w:r>
              <w:rPr>
                <w:spacing w:val="0"/>
                <w:sz w:val="24"/>
                <w:szCs w:val="24"/>
              </w:rPr>
              <w:t>1、招标代理服务费按国家计划委员会（计价格[2002]1980号文规定的招标收费标准，以差额定率累计法计算。本项目的招标代理服务费由中标人支付，招标文件内若有冲突条款的，以本条规定为准。 2、中标人应在领取中标通知书的同时以转帐、电汇付款方式一次性向招标代理人缴纳中标服务费。 开户行:华夏银行股份有限公司福州晋安支行 账 号：12255000000186362 开户名称：福建省顺鑫招标代理有限公司。</w:t>
            </w:r>
          </w:p>
        </w:tc>
      </w:tr>
    </w:tbl>
    <w:p w14:paraId="4E6593FA">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第三章   投标人须知</w:t>
      </w:r>
    </w:p>
    <w:p w14:paraId="4983D2F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6914B25B">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一、总则</w:t>
      </w:r>
    </w:p>
    <w:p w14:paraId="6988C90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1、适用范围</w:t>
      </w:r>
    </w:p>
    <w:p w14:paraId="6922B69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1.1适用于招标文件载明项目的政府采购活动（以下简称：“本次采购活动”）。</w:t>
      </w:r>
    </w:p>
    <w:p w14:paraId="1685751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2、定义</w:t>
      </w:r>
    </w:p>
    <w:p w14:paraId="3282AA0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2.1“采购标的”指招标文件载明的需要采购的货物或服务。</w:t>
      </w:r>
    </w:p>
    <w:p w14:paraId="64B15B1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2.2“潜在投标人”指按照招标文件第一章第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条规定进行报名且有意向参加本项目投标的供应商。</w:t>
      </w:r>
    </w:p>
    <w:p w14:paraId="3B7A0C5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2.3“投标人”指按照招标文件第一章第</w:t>
      </w:r>
      <w:r>
        <w:rPr>
          <w:rFonts w:hint="default" w:ascii="Calibri" w:hAnsi="Calibri" w:cs="Calibri"/>
          <w:spacing w:val="0"/>
          <w:sz w:val="24"/>
          <w:szCs w:val="24"/>
        </w:rPr>
        <w:t>7</w:t>
      </w:r>
      <w:r>
        <w:rPr>
          <w:rFonts w:hint="eastAsia" w:ascii="宋体" w:hAnsi="宋体" w:eastAsia="宋体" w:cs="宋体"/>
          <w:spacing w:val="0"/>
          <w:sz w:val="24"/>
          <w:szCs w:val="24"/>
        </w:rPr>
        <w:t>条规定进行报名并参加本项目投标的供应商。</w:t>
      </w:r>
    </w:p>
    <w:p w14:paraId="036712C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2.4“单位负责人”指单位法定代表人或法律、法规规定代表单位行使职权的主要负责人。</w:t>
      </w:r>
    </w:p>
    <w:p w14:paraId="0AEFBAA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2.5“投标人代表”指投标人的单位负责人或“单位负责人授权书”中载明的接受授权方。</w:t>
      </w:r>
    </w:p>
    <w:p w14:paraId="4148326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61C629F2">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二、投标人</w:t>
      </w:r>
    </w:p>
    <w:p w14:paraId="3DC2648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3、合格投标人</w:t>
      </w:r>
    </w:p>
    <w:p w14:paraId="5DAA7F1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3.1一般规定</w:t>
      </w:r>
    </w:p>
    <w:p w14:paraId="641ADEC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（1）投标人应遵守政府采购法及实施条例、政府采购招投标管理办法、</w:t>
      </w:r>
      <w:r>
        <w:rPr>
          <w:rFonts w:hint="eastAsia" w:ascii="宋体" w:hAnsi="宋体" w:eastAsia="宋体" w:cs="宋体"/>
        </w:rPr>
        <w:t>政府采购质疑和投诉办法及财政部、</w:t>
      </w:r>
      <w:r>
        <w:rPr>
          <w:rFonts w:hint="eastAsia" w:ascii="宋体" w:hAnsi="宋体" w:eastAsia="宋体" w:cs="宋体"/>
          <w:spacing w:val="0"/>
        </w:rPr>
        <w:t>福建省财政厅有关政府采购文件的规定，同时还应遵守有关法律、法规和规章的强制性规定。</w:t>
      </w:r>
    </w:p>
    <w:p w14:paraId="3C2871D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（2）投标人的资格要求：详见招标文件第一章。</w:t>
      </w:r>
    </w:p>
    <w:p w14:paraId="2DF4783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3.2若本项目接受联合体投标且投标人为联合体，则联合体各方应遵守本章第3.1条规定，同时还应遵守下列规定：</w:t>
      </w:r>
    </w:p>
    <w:p w14:paraId="61A1DB5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（1）联合体各方应提交联合体协议，联合体协议应符合招标文件规定。</w:t>
      </w:r>
    </w:p>
    <w:p w14:paraId="482D802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（2）联合体各方不得再单独参加或与其他供应商另外组成联合体参加同一合同项下的投标。</w:t>
      </w:r>
    </w:p>
    <w:p w14:paraId="12FC684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（3）联合体各方应共同与采购人签订政府采购合同，就政府采购合同约定的事项对采购人承担连带责任。</w:t>
      </w:r>
    </w:p>
    <w:p w14:paraId="57B00DB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4、投标费用</w:t>
      </w:r>
    </w:p>
    <w:p w14:paraId="6DFD1E8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4.1除招标文件另有规定外，投标人应自行承担其参加本项目投标所涉及的一切费用。</w:t>
      </w:r>
    </w:p>
    <w:p w14:paraId="7F2F128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AAD751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9B0816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8B6A95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F80BDC1">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三、招标</w:t>
      </w:r>
    </w:p>
    <w:p w14:paraId="3D918F6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5、招标文件</w:t>
      </w:r>
    </w:p>
    <w:p w14:paraId="5565775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5.1招标文件由下述部分组成：</w:t>
      </w:r>
    </w:p>
    <w:p w14:paraId="2604E93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（1）投标邀请</w:t>
      </w:r>
    </w:p>
    <w:p w14:paraId="58094A2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（2）投标人须知前附表（表</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w:t>
      </w:r>
    </w:p>
    <w:p w14:paraId="666DBD1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（3）投标人须知</w:t>
      </w:r>
    </w:p>
    <w:p w14:paraId="59268F0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（4）资格审查与评标</w:t>
      </w:r>
    </w:p>
    <w:p w14:paraId="42656B0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（5）招标内容及要求</w:t>
      </w:r>
    </w:p>
    <w:p w14:paraId="4F44BE1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（6）政府采购合同（参考文本）</w:t>
      </w:r>
    </w:p>
    <w:p w14:paraId="1D2A201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（7）投标文件格式</w:t>
      </w:r>
    </w:p>
    <w:p w14:paraId="273B6B5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（8）按照招标文件规定作为招标文件组成部分的其他内容（若有）</w:t>
      </w:r>
    </w:p>
    <w:p w14:paraId="18E497E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5.2招标文件的澄清或修改</w:t>
      </w:r>
    </w:p>
    <w:p w14:paraId="5CFA698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w:t>
      </w:r>
      <w:r>
        <w:rPr>
          <w:spacing w:val="0"/>
          <w:sz w:val="24"/>
          <w:szCs w:val="24"/>
          <w:u w:val="single"/>
        </w:rPr>
        <w:t>福建省顺鑫招标代理有限公司</w:t>
      </w:r>
      <w:r>
        <w:rPr>
          <w:rFonts w:hint="eastAsia" w:ascii="宋体" w:hAnsi="宋体" w:eastAsia="宋体" w:cs="宋体"/>
          <w:spacing w:val="0"/>
          <w:sz w:val="24"/>
          <w:szCs w:val="24"/>
        </w:rPr>
        <w:t>可对已发出的招标文件进行必要的澄清或修改，但不得对招标文件载明的采购标的和投标人的资格要求进行改变。</w:t>
      </w:r>
    </w:p>
    <w:p w14:paraId="78ADCAC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（2）除本章第</w:t>
      </w:r>
      <w:r>
        <w:rPr>
          <w:rFonts w:hint="default" w:ascii="Calibri" w:hAnsi="Calibri" w:cs="Calibri"/>
          <w:spacing w:val="0"/>
          <w:sz w:val="24"/>
          <w:szCs w:val="24"/>
        </w:rPr>
        <w:t>5.2</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）款规定情形外，澄清或修改的内容可能影响投标文件编制的，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将在投标截止时间至少15个日历日前，在招标文件载明的指定媒体以更正公告的形式发布澄清或修改的内容。不足</w:t>
      </w:r>
      <w:r>
        <w:rPr>
          <w:rFonts w:hint="default" w:ascii="Calibri" w:hAnsi="Calibri" w:cs="Calibri"/>
          <w:spacing w:val="0"/>
          <w:sz w:val="24"/>
          <w:szCs w:val="24"/>
        </w:rPr>
        <w:t>15</w:t>
      </w:r>
      <w:r>
        <w:rPr>
          <w:rFonts w:hint="eastAsia" w:ascii="宋体" w:hAnsi="宋体" w:eastAsia="宋体" w:cs="宋体"/>
          <w:spacing w:val="0"/>
          <w:sz w:val="24"/>
          <w:szCs w:val="24"/>
        </w:rPr>
        <w:t>个日历日的，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将顺延投标截止时间及开标时间，</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和投标人受原投标截止时间及开标时间制约的所有权利和义务均延长至新的投标截止时间及开标时间。</w:t>
      </w:r>
    </w:p>
    <w:p w14:paraId="6E17B62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（3）澄清或修改的内容可能改变招标文件载明的采购标的和投标人的资格要求的，本次采购活动结束，</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将依法组织后续采购活动（包括但不限于：重新招标、采用其他方式采购等）。</w:t>
      </w:r>
    </w:p>
    <w:p w14:paraId="6148C36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6、现场考察或开标前答疑会</w:t>
      </w:r>
    </w:p>
    <w:p w14:paraId="03DE49E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6.1是否组织现场考察或召开开标前答疑会：详见招标文件第二章。</w:t>
      </w:r>
    </w:p>
    <w:p w14:paraId="333993C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7、更正公告</w:t>
      </w:r>
    </w:p>
    <w:p w14:paraId="2D9107B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7.1若</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发布更正公告，则更正公告及其所发布的内容或信息（包括但不限于：招标文件的澄清或修改、现场考察或答疑会的有关事宜等）</w:t>
      </w:r>
      <w:r>
        <w:rPr>
          <w:rStyle w:val="8"/>
          <w:rFonts w:hint="eastAsia" w:ascii="宋体" w:hAnsi="宋体" w:eastAsia="宋体" w:cs="宋体"/>
          <w:b/>
          <w:spacing w:val="0"/>
          <w:sz w:val="24"/>
          <w:szCs w:val="24"/>
        </w:rPr>
        <w:t>作为招标文件组成部分</w:t>
      </w:r>
      <w:r>
        <w:rPr>
          <w:rFonts w:hint="eastAsia" w:ascii="宋体" w:hAnsi="宋体" w:eastAsia="宋体" w:cs="宋体"/>
          <w:spacing w:val="0"/>
          <w:sz w:val="24"/>
          <w:szCs w:val="24"/>
        </w:rPr>
        <w:t>，对投标人具有约束力。</w:t>
      </w:r>
    </w:p>
    <w:p w14:paraId="7C1479B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7.2更正公告作为</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通知所有潜在投标人的书面形式。</w:t>
      </w:r>
    </w:p>
    <w:p w14:paraId="39C1112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8、终止公告</w:t>
      </w:r>
    </w:p>
    <w:p w14:paraId="38433EF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8.1若出现因重大变故导致采购任务取消情形，</w:t>
      </w:r>
      <w:r>
        <w:rPr>
          <w:rFonts w:hint="eastAsia" w:ascii="宋体" w:hAnsi="宋体" w:eastAsia="宋体" w:cs="宋体"/>
          <w:spacing w:val="0"/>
          <w:sz w:val="24"/>
          <w:szCs w:val="24"/>
          <w:u w:val="none"/>
        </w:rPr>
        <w:t>福建省顺鑫招标代理有限公司可终止招标并发布终止公告。</w:t>
      </w:r>
    </w:p>
    <w:p w14:paraId="063DBE7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none"/>
        </w:rPr>
        <w:t>8.2终止公告作为福建省顺鑫招标代理有限公司</w:t>
      </w:r>
      <w:r>
        <w:rPr>
          <w:rFonts w:hint="eastAsia" w:ascii="宋体" w:hAnsi="宋体" w:eastAsia="宋体" w:cs="宋体"/>
          <w:spacing w:val="0"/>
          <w:sz w:val="24"/>
          <w:szCs w:val="24"/>
        </w:rPr>
        <w:t>通知所有潜在投标人的书面形式。</w:t>
      </w:r>
    </w:p>
    <w:p w14:paraId="72A9525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E374E0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5F4BDCC8">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四、投标</w:t>
      </w:r>
    </w:p>
    <w:p w14:paraId="1BAD3BB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9、投标</w:t>
      </w:r>
    </w:p>
    <w:p w14:paraId="3E06E92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9.1投标人可对招标文件载明的全部或部分合同包进行投标。</w:t>
      </w:r>
    </w:p>
    <w:p w14:paraId="0097B91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9.2投标人应对同一个合同包内的所有内容进行完整投标，否则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2577438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9.3投标人代表只能接受一个投标人的授权参加投标，否则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09FD5AA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9.4单位负责人为同一人或存在直接控股、管理关系的不同供应商，不得同时参加同一合同项下的投标，否则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6D2E78E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9.5为本项目提供整体设计、规范编制或项目管理、监理、检测等服务的供应商，不得参加本项目除整体设计、规范编制和项目管理、监理、检测等服务外的采购活动，否则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43F0271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9.6列入失信被执行人、重大税收违法案件当事人名单、政府采购严重违法失信行为记录名单及其他不符合政府采购法第二十二条规定条件的供应商，不得参加投标，否则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709EEFF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9.7有下列情形之一的，视为投标人串通投标，</w:t>
      </w:r>
      <w:r>
        <w:rPr>
          <w:rStyle w:val="8"/>
          <w:rFonts w:hint="eastAsia" w:ascii="宋体" w:hAnsi="宋体" w:eastAsia="宋体" w:cs="宋体"/>
          <w:b/>
          <w:spacing w:val="0"/>
          <w:sz w:val="24"/>
          <w:szCs w:val="24"/>
        </w:rPr>
        <w:t>其投标无效：</w:t>
      </w:r>
    </w:p>
    <w:p w14:paraId="2408AEF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（1）不同投标人的投标文件由同一单位或个人编制；</w:t>
      </w:r>
    </w:p>
    <w:p w14:paraId="204C062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（2）不同投标人委托同一单位或个人办理投标事宜；</w:t>
      </w:r>
    </w:p>
    <w:p w14:paraId="7CD9EB7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（3）不同投标人的投标文件载明的项目管理成员或联系人员为同一人；</w:t>
      </w:r>
    </w:p>
    <w:p w14:paraId="68B3814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（4）不同投标人的投标文件异常一致或投标报价呈规律性差异；</w:t>
      </w:r>
    </w:p>
    <w:p w14:paraId="2F8A369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（5）不同投标人的投标文件相互混装；</w:t>
      </w:r>
    </w:p>
    <w:p w14:paraId="3616E65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（6）不同投标人的投标保证金从同一单位或个人的账户转出；</w:t>
      </w:r>
    </w:p>
    <w:p w14:paraId="3D2CB26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（7）有关法律、法规和规章及招标文件规定的其他串通投标情形。</w:t>
      </w:r>
    </w:p>
    <w:p w14:paraId="257FF67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10、投标文件</w:t>
      </w:r>
    </w:p>
    <w:p w14:paraId="256AD5A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10.1投标文件的编制</w:t>
      </w:r>
    </w:p>
    <w:p w14:paraId="190B68C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（1）投标人应先仔细阅读招标文件的全部内容后，再进行投标文件的编制。</w:t>
      </w:r>
    </w:p>
    <w:p w14:paraId="4944C0F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（2）投标文件应按照本章第</w:t>
      </w:r>
      <w:r>
        <w:rPr>
          <w:rFonts w:hint="default" w:ascii="Calibri" w:hAnsi="Calibri" w:cs="Calibri"/>
          <w:spacing w:val="0"/>
          <w:sz w:val="24"/>
          <w:szCs w:val="24"/>
        </w:rPr>
        <w:t>10.2</w:t>
      </w:r>
      <w:r>
        <w:rPr>
          <w:rFonts w:hint="eastAsia" w:ascii="宋体" w:hAnsi="宋体" w:eastAsia="宋体" w:cs="宋体"/>
          <w:spacing w:val="0"/>
          <w:sz w:val="24"/>
          <w:szCs w:val="24"/>
        </w:rPr>
        <w:t>条规定编制其组成部分。</w:t>
      </w:r>
    </w:p>
    <w:p w14:paraId="0076834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（3）投标文件应满足招标文件提出的实质性要求和条件，并保证其所提交的全部资料是不可割离且真实、有效、准确、完整和不具有任何误导性的，否则造成不利后果由投标人承担责任。</w:t>
      </w:r>
    </w:p>
    <w:p w14:paraId="7C31FDD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10.2投标文件由下述部分组成：</w:t>
      </w:r>
    </w:p>
    <w:p w14:paraId="6270363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（1）资格及资信证明部分</w:t>
      </w:r>
    </w:p>
    <w:p w14:paraId="7586821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①投标函</w:t>
      </w:r>
    </w:p>
    <w:p w14:paraId="0152563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②投标人的资格及资信证明文件</w:t>
      </w:r>
    </w:p>
    <w:p w14:paraId="4F25D78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③投标保证金</w:t>
      </w:r>
    </w:p>
    <w:p w14:paraId="3CF83A6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（2）报价部分</w:t>
      </w:r>
    </w:p>
    <w:p w14:paraId="7CF5888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①开标一览表</w:t>
      </w:r>
    </w:p>
    <w:p w14:paraId="69FB4BD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②投标分项报价表</w:t>
      </w:r>
    </w:p>
    <w:p w14:paraId="03130F4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③招标文件规定的价格扣除证明材料（若有）</w:t>
      </w:r>
    </w:p>
    <w:p w14:paraId="1084EE5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④招标文件规定的加分证明材料（若有）</w:t>
      </w:r>
    </w:p>
    <w:p w14:paraId="6789E78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（3）技术商务部分</w:t>
      </w:r>
    </w:p>
    <w:p w14:paraId="4FC18A8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①标的说明一览表</w:t>
      </w:r>
    </w:p>
    <w:p w14:paraId="0DB349B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②技术和服务要求响应表</w:t>
      </w:r>
    </w:p>
    <w:p w14:paraId="5BBAE31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③商务条件响应表</w:t>
      </w:r>
    </w:p>
    <w:p w14:paraId="56C424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④投标人提交的其他资料（若有）</w:t>
      </w:r>
    </w:p>
    <w:p w14:paraId="0BA12C4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⑤招标文件规定作为投标文件组成部分的其他内容（若有）</w:t>
      </w:r>
    </w:p>
    <w:p w14:paraId="38AD046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10.3投标文件的语言</w:t>
      </w:r>
    </w:p>
    <w:p w14:paraId="67B0AE6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（1）除招标文件另有规定外，投标文件应使用中文文本，若有不同文本，以中文文本为准。</w:t>
      </w:r>
    </w:p>
    <w:p w14:paraId="009C889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51999C0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10.4投标文件的份数：详见招标文件第二章。</w:t>
      </w:r>
    </w:p>
    <w:p w14:paraId="411BE4B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10.5投标文件的格式</w:t>
      </w:r>
    </w:p>
    <w:p w14:paraId="591C5FD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（1）除招标文件另有规定外，投标文件应使用招标文件第七章规定的格式。</w:t>
      </w:r>
    </w:p>
    <w:p w14:paraId="1F489C1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（2）除招标文件另有规定外，投标文件的正本和全部副本均应使用不能擦去的墨料或墨水打印、书写或复印，其中：</w:t>
      </w:r>
    </w:p>
    <w:p w14:paraId="0E38264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①正本应用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幅面纸张打印装订，编制封面（封面标明“正本”字样）、索引、页码，并用胶装装订成册。</w:t>
      </w:r>
    </w:p>
    <w:p w14:paraId="2C1D4AA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②副本应用</w:t>
      </w:r>
      <w:r>
        <w:rPr>
          <w:rFonts w:hint="default" w:ascii="Calibri" w:hAnsi="Calibri" w:cs="Calibri"/>
          <w:spacing w:val="0"/>
          <w:sz w:val="24"/>
          <w:szCs w:val="24"/>
        </w:rPr>
        <w:t>A4</w:t>
      </w:r>
      <w:r>
        <w:rPr>
          <w:rFonts w:hint="eastAsia" w:ascii="宋体" w:hAnsi="宋体" w:eastAsia="宋体" w:cs="宋体"/>
          <w:spacing w:val="0"/>
          <w:sz w:val="24"/>
          <w:szCs w:val="24"/>
        </w:rPr>
        <w:t>幅面纸张打印装订，编制封面（封面标明“副本”字样）、索引、页码，并用胶装装订成册；副本可用正本的完整复印件，并与正本保持一致（若不一致，以正本为准）。</w:t>
      </w:r>
    </w:p>
    <w:p w14:paraId="13A6DB7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③允许散装或活页装订的内容或材料：详见招标文件第二章。</w:t>
      </w:r>
    </w:p>
    <w:p w14:paraId="639B2F2A">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※除本章第</w:t>
      </w:r>
      <w:r>
        <w:rPr>
          <w:rStyle w:val="8"/>
          <w:rFonts w:hint="default" w:ascii="Calibri" w:hAnsi="Calibri" w:cs="Calibri"/>
          <w:b/>
          <w:spacing w:val="0"/>
          <w:sz w:val="24"/>
          <w:szCs w:val="24"/>
        </w:rPr>
        <w:t>10.5</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2</w:t>
      </w:r>
      <w:r>
        <w:rPr>
          <w:rStyle w:val="8"/>
          <w:rFonts w:hint="eastAsia" w:ascii="宋体" w:hAnsi="宋体" w:eastAsia="宋体" w:cs="宋体"/>
          <w:b/>
          <w:spacing w:val="0"/>
          <w:sz w:val="24"/>
          <w:szCs w:val="24"/>
        </w:rPr>
        <w:t>）款第③点规定情形外，投标文件散装或活页装订将导致投标无效。</w:t>
      </w:r>
    </w:p>
    <w:p w14:paraId="68DFA01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（3）除招标文件另有规定外，投标文件应使用人民币作为计量货币。</w:t>
      </w:r>
    </w:p>
    <w:p w14:paraId="05A3B50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（4）除招标文件另有规定外，签署、盖章应遵守下列规定：</w:t>
      </w:r>
    </w:p>
    <w:p w14:paraId="3AB61C5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①投标文件应由投标人代表签字并加盖投标人的单位公章。若投标人代表为单位负责人授权的委托代理人，应提供“单位负责人授权书”。</w:t>
      </w:r>
    </w:p>
    <w:p w14:paraId="315CA99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②投标文件应没有涂改或行间插字，除非这些改动是根据</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的指示进行的，或是为改正投标人造成的应修改的错误而进行的。若有前述改动，应按照下列规定之一对改动处进行处理：</w:t>
      </w:r>
    </w:p>
    <w:p w14:paraId="3240063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a.投标人代表签字确认；</w:t>
      </w:r>
    </w:p>
    <w:p w14:paraId="6D1A787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b.加盖投标人的单位公章或校正章。</w:t>
      </w:r>
    </w:p>
    <w:p w14:paraId="2DD1753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10.6投标报价</w:t>
      </w:r>
    </w:p>
    <w:p w14:paraId="53E3574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（1）投标报价超出最高限价将导致</w:t>
      </w:r>
      <w:r>
        <w:rPr>
          <w:rStyle w:val="8"/>
          <w:rFonts w:hint="eastAsia" w:ascii="宋体" w:hAnsi="宋体" w:eastAsia="宋体" w:cs="宋体"/>
          <w:b/>
          <w:spacing w:val="0"/>
          <w:sz w:val="24"/>
          <w:szCs w:val="24"/>
        </w:rPr>
        <w:t>投标无效。</w:t>
      </w:r>
    </w:p>
    <w:p w14:paraId="274E842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（2）最高限价由采购人根据价格测算情况，在预算金额的额度内合理设定。最高限价不得超出预算金额。</w:t>
      </w:r>
    </w:p>
    <w:p w14:paraId="331350B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（3）除招标文件另有规定外，投标文件不能出现任何选择性的投标报价，即每一个合同包和品目号的采购标的都只能有一个投标报价。任何选择性的投标报价将导致</w:t>
      </w:r>
      <w:r>
        <w:rPr>
          <w:rStyle w:val="8"/>
          <w:rFonts w:hint="eastAsia" w:ascii="宋体" w:hAnsi="宋体" w:eastAsia="宋体" w:cs="宋体"/>
          <w:b/>
          <w:spacing w:val="0"/>
          <w:sz w:val="24"/>
          <w:szCs w:val="24"/>
        </w:rPr>
        <w:t>投标无效。</w:t>
      </w:r>
    </w:p>
    <w:p w14:paraId="4D1B7B8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10.7分包</w:t>
      </w:r>
    </w:p>
    <w:p w14:paraId="33E3432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（1）是否允许中标人将本项目的非主体、非关键性工作进行分包：详见招标文件第二章。</w:t>
      </w:r>
    </w:p>
    <w:p w14:paraId="5D70E16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（2）若允许中标人将本项目的非主体、非关键性工作进行分包且投标人拟在中标后进行分包，则投标人应在投标文件中载明分包承担主体，分包承担主体应具备相应资质条件（若有）且不得再次分包。</w:t>
      </w:r>
    </w:p>
    <w:p w14:paraId="3FF4429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（3）招标文件允许中标人将非主体、非关键性工作进行分包的项目，有下列情形之一的，中标人不得分包：</w:t>
      </w:r>
    </w:p>
    <w:p w14:paraId="21077B4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①投标文件中未载明分包承担主体；</w:t>
      </w:r>
    </w:p>
    <w:p w14:paraId="29D4680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②投标文件载明的分包承担主体不具备相应资质条件；</w:t>
      </w:r>
    </w:p>
    <w:p w14:paraId="2271949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③投标文件载明的分包承担主体拟再次分包。</w:t>
      </w:r>
    </w:p>
    <w:p w14:paraId="567D3F3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10.8投标有效期</w:t>
      </w:r>
    </w:p>
    <w:p w14:paraId="472E111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（1）招标文件载明的投标有效期：详见招标文件第二章。</w:t>
      </w:r>
    </w:p>
    <w:p w14:paraId="1D0EFA2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（2）投标文件承诺的投标有效期不得少于招标文件载明的投标有效期，否则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696F77C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（3）根据本次采购活动的需要，</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可于投标有效期届满之前书面要求投标人延长投标有效期，投标人应在</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规定的期限内以书面形式予以答复。对于延长投标有效期的要求，投标人可以拒绝也可以接受，投标人答复不明确或逾期未答复的，均视为拒绝该要求。对于接受延长投标有效期的投标人，既不要求也不允许修改投标文件。</w:t>
      </w:r>
    </w:p>
    <w:p w14:paraId="1E51805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10.9投标保证金</w:t>
      </w:r>
    </w:p>
    <w:p w14:paraId="2C37E7A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（1）投标保证金作为投标人按照招标文件规定履行相应投标责任、义务的约束及担保。</w:t>
      </w:r>
    </w:p>
    <w:p w14:paraId="5BE6E55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（2）投标保证金的有效期应与投标文件承诺的投标有效期保持一致，否则</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235460A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（3）提交</w:t>
      </w:r>
    </w:p>
    <w:p w14:paraId="650EB81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①投标人应从其银行账户</w:t>
      </w:r>
      <w:r>
        <w:rPr>
          <w:rStyle w:val="8"/>
          <w:rFonts w:hint="eastAsia" w:ascii="宋体" w:hAnsi="宋体" w:eastAsia="宋体" w:cs="宋体"/>
          <w:b/>
          <w:spacing w:val="0"/>
          <w:sz w:val="24"/>
          <w:szCs w:val="24"/>
        </w:rPr>
        <w:t>（基本存款账户）</w:t>
      </w:r>
      <w:r>
        <w:rPr>
          <w:rFonts w:hint="eastAsia" w:ascii="宋体" w:hAnsi="宋体" w:eastAsia="宋体" w:cs="宋体"/>
          <w:spacing w:val="0"/>
          <w:sz w:val="24"/>
          <w:szCs w:val="24"/>
        </w:rPr>
        <w:t>按照下列方式：</w:t>
      </w:r>
      <w:r>
        <w:rPr>
          <w:rStyle w:val="8"/>
          <w:rFonts w:hint="eastAsia" w:ascii="宋体" w:hAnsi="宋体" w:eastAsia="宋体" w:cs="宋体"/>
          <w:b/>
          <w:spacing w:val="0"/>
          <w:sz w:val="24"/>
          <w:szCs w:val="24"/>
        </w:rPr>
        <w:t>公对公转账方式</w:t>
      </w:r>
      <w:r>
        <w:rPr>
          <w:rFonts w:hint="eastAsia" w:ascii="宋体" w:hAnsi="宋体" w:eastAsia="宋体" w:cs="宋体"/>
          <w:spacing w:val="0"/>
          <w:sz w:val="24"/>
          <w:szCs w:val="24"/>
        </w:rPr>
        <w:t>向招标文件载明的投标保证金账户提交投标保证金，具体金额详见招标文件第一章。</w:t>
      </w:r>
    </w:p>
    <w:p w14:paraId="0F0405B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②投标保证金应于投标截止时间前到达招标文件载明的投标保证金账户，否则视为投标保证金未提交；是否到达按照下列方式认定：</w:t>
      </w:r>
      <w:r>
        <w:rPr>
          <w:rStyle w:val="8"/>
          <w:rFonts w:hint="eastAsia" w:ascii="宋体" w:hAnsi="宋体" w:eastAsia="宋体" w:cs="宋体"/>
          <w:b/>
          <w:spacing w:val="0"/>
          <w:sz w:val="24"/>
          <w:szCs w:val="24"/>
        </w:rPr>
        <w:t>以福建省政府采购网上公开信息系统记载的为准。</w:t>
      </w:r>
    </w:p>
    <w:p w14:paraId="0A9605E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③若本项目接受联合体投标且投标人为联合体，则联合体中的牵头方应按照本章第</w:t>
      </w:r>
      <w:r>
        <w:rPr>
          <w:rFonts w:hint="default" w:ascii="Calibri" w:hAnsi="Calibri" w:cs="Calibri"/>
          <w:spacing w:val="0"/>
          <w:sz w:val="24"/>
          <w:szCs w:val="24"/>
        </w:rPr>
        <w:t>10.9</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）款第①、②点规定提交投标保证金。</w:t>
      </w:r>
    </w:p>
    <w:p w14:paraId="7012BDEA">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※除招标文件另有规定外，未按照上述规定提交投标保证金将导致资格审查不合格。</w:t>
      </w:r>
    </w:p>
    <w:p w14:paraId="035A99B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（4）退还</w:t>
      </w:r>
    </w:p>
    <w:p w14:paraId="393E356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①在投标截止时间前撤回已提交的投标文件的投标人，其投标保证金将在</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收到投标人书面撤回通知之日起5个工作日内退回原账户。</w:t>
      </w:r>
    </w:p>
    <w:p w14:paraId="63E8F3D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②未中标人的投标保证金将在中标通知书发出之日起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w:t>
      </w:r>
    </w:p>
    <w:p w14:paraId="4DB53B6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③中标人的投标保证金将在政府采购合同签订之日起</w:t>
      </w:r>
      <w:r>
        <w:rPr>
          <w:rFonts w:hint="default" w:ascii="Calibri" w:hAnsi="Calibri" w:cs="Calibri"/>
          <w:spacing w:val="0"/>
          <w:sz w:val="24"/>
          <w:szCs w:val="24"/>
        </w:rPr>
        <w:t>5</w:t>
      </w:r>
      <w:r>
        <w:rPr>
          <w:rFonts w:hint="eastAsia" w:ascii="宋体" w:hAnsi="宋体" w:eastAsia="宋体" w:cs="宋体"/>
          <w:spacing w:val="0"/>
          <w:sz w:val="24"/>
          <w:szCs w:val="24"/>
        </w:rPr>
        <w:t>个工作日内退回原账户；合同签订之日按照下列方式认定：</w:t>
      </w:r>
      <w:r>
        <w:rPr>
          <w:rStyle w:val="8"/>
          <w:rFonts w:hint="eastAsia" w:ascii="宋体" w:hAnsi="宋体" w:eastAsia="宋体" w:cs="宋体"/>
          <w:b/>
          <w:spacing w:val="0"/>
          <w:sz w:val="24"/>
          <w:szCs w:val="24"/>
        </w:rPr>
        <w:t>以福建省政府采购网上公开信息系统记载的为准。</w:t>
      </w:r>
    </w:p>
    <w:p w14:paraId="140BE99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④终止招标的，</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将在终止公告发布之日起5个工作日内退回已收取的投标保证金及其在银行产生的孳息。</w:t>
      </w:r>
    </w:p>
    <w:p w14:paraId="0B8E9F3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⑤除招标文件另有规定外，质疑或投诉涉及的投标人，若投标保证金尚未退还，则待质疑或投诉处理完毕后不计利息原额退还。</w:t>
      </w:r>
    </w:p>
    <w:p w14:paraId="44661EAF">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※本章第</w:t>
      </w:r>
      <w:r>
        <w:rPr>
          <w:rStyle w:val="8"/>
          <w:rFonts w:hint="default" w:ascii="Calibri" w:hAnsi="Calibri" w:cs="Calibri"/>
          <w:b/>
          <w:spacing w:val="0"/>
          <w:sz w:val="24"/>
          <w:szCs w:val="24"/>
        </w:rPr>
        <w:t>10.9</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4</w:t>
      </w:r>
      <w:r>
        <w:rPr>
          <w:rStyle w:val="8"/>
          <w:rFonts w:hint="eastAsia" w:ascii="宋体" w:hAnsi="宋体" w:eastAsia="宋体" w:cs="宋体"/>
          <w:b/>
          <w:spacing w:val="0"/>
          <w:sz w:val="24"/>
          <w:szCs w:val="24"/>
        </w:rPr>
        <w:t>）款第①、②、③点规定的投标保证金退还时限不包括因投标人自身原因导致无法及时退还而增加的时间。</w:t>
      </w:r>
    </w:p>
    <w:p w14:paraId="4276BDF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（5）若出现本章第</w:t>
      </w:r>
      <w:r>
        <w:rPr>
          <w:rFonts w:hint="default" w:ascii="Calibri" w:hAnsi="Calibri" w:cs="Calibri"/>
          <w:spacing w:val="0"/>
          <w:sz w:val="24"/>
          <w:szCs w:val="24"/>
        </w:rPr>
        <w:t>10.8</w:t>
      </w:r>
      <w:r>
        <w:rPr>
          <w:rFonts w:hint="eastAsia" w:ascii="宋体" w:hAnsi="宋体" w:eastAsia="宋体" w:cs="宋体"/>
          <w:spacing w:val="0"/>
          <w:sz w:val="24"/>
          <w:szCs w:val="24"/>
        </w:rPr>
        <w:t>条第（</w:t>
      </w:r>
      <w:r>
        <w:rPr>
          <w:rFonts w:hint="default" w:ascii="Calibri" w:hAnsi="Calibri" w:cs="Calibri"/>
          <w:spacing w:val="0"/>
          <w:sz w:val="24"/>
          <w:szCs w:val="24"/>
        </w:rPr>
        <w:t>3</w:t>
      </w:r>
      <w:r>
        <w:rPr>
          <w:rFonts w:hint="eastAsia" w:ascii="宋体" w:hAnsi="宋体" w:eastAsia="宋体" w:cs="宋体"/>
          <w:spacing w:val="0"/>
          <w:sz w:val="24"/>
          <w:szCs w:val="24"/>
        </w:rPr>
        <w:t>）款规定情形，对于拒绝延长投标有效期的投标人，投标保证金仍可退还。对于接受延长投标有效期的投标人，相应延长投标保证金有效期，招标文件关于退还和不予退还投标保证金的规定继续适用。</w:t>
      </w:r>
    </w:p>
    <w:p w14:paraId="27B7A7F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（6）有下列情形之一的，投标保证金将不予退还：</w:t>
      </w:r>
    </w:p>
    <w:p w14:paraId="507F1FE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①投标人串通投标；</w:t>
      </w:r>
    </w:p>
    <w:p w14:paraId="2E4F1FC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②投标人提供虚假材料；</w:t>
      </w:r>
    </w:p>
    <w:p w14:paraId="4619015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③投标人采取不正当手段诋毁、排挤其他投标人；</w:t>
      </w:r>
    </w:p>
    <w:p w14:paraId="6AA1C97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④投标截止时间后，投标人在投标有效期内撤销投标文件；</w:t>
      </w:r>
    </w:p>
    <w:p w14:paraId="25EFC18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⑤投标人不接受评标委员会按照招标文件规定对投标报价错误之处进行修正；</w:t>
      </w:r>
    </w:p>
    <w:p w14:paraId="3409B3D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⑥投标人违反招标文件第三章第</w:t>
      </w:r>
      <w:r>
        <w:rPr>
          <w:rFonts w:hint="default" w:ascii="Calibri" w:hAnsi="Calibri" w:cs="Calibri"/>
          <w:spacing w:val="0"/>
          <w:sz w:val="24"/>
          <w:szCs w:val="24"/>
        </w:rPr>
        <w:t>9.4</w:t>
      </w:r>
      <w:r>
        <w:rPr>
          <w:rFonts w:hint="eastAsia" w:ascii="宋体" w:hAnsi="宋体" w:eastAsia="宋体" w:cs="宋体"/>
          <w:spacing w:val="0"/>
          <w:sz w:val="24"/>
          <w:szCs w:val="24"/>
        </w:rPr>
        <w:t>、</w:t>
      </w:r>
      <w:r>
        <w:rPr>
          <w:rFonts w:hint="default" w:ascii="Calibri" w:hAnsi="Calibri" w:cs="Calibri"/>
          <w:spacing w:val="0"/>
          <w:sz w:val="24"/>
          <w:szCs w:val="24"/>
        </w:rPr>
        <w:t>9.5</w:t>
      </w:r>
      <w:r>
        <w:rPr>
          <w:rFonts w:hint="eastAsia" w:ascii="宋体" w:hAnsi="宋体" w:eastAsia="宋体" w:cs="宋体"/>
          <w:spacing w:val="0"/>
          <w:sz w:val="24"/>
          <w:szCs w:val="24"/>
        </w:rPr>
        <w:t>、</w:t>
      </w:r>
      <w:r>
        <w:rPr>
          <w:rFonts w:hint="default" w:ascii="Calibri" w:hAnsi="Calibri" w:cs="Calibri"/>
          <w:spacing w:val="0"/>
          <w:sz w:val="24"/>
          <w:szCs w:val="24"/>
        </w:rPr>
        <w:t>9.6</w:t>
      </w:r>
      <w:r>
        <w:rPr>
          <w:rFonts w:hint="eastAsia" w:ascii="宋体" w:hAnsi="宋体" w:eastAsia="宋体" w:cs="宋体"/>
          <w:spacing w:val="0"/>
          <w:sz w:val="24"/>
          <w:szCs w:val="24"/>
        </w:rPr>
        <w:t>条规定之一；</w:t>
      </w:r>
    </w:p>
    <w:p w14:paraId="23B7E20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⑦招标文件规定的其他不予退还情形；</w:t>
      </w:r>
    </w:p>
    <w:p w14:paraId="15724C3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⑧中标人有下列情形之一的：</w:t>
      </w:r>
    </w:p>
    <w:p w14:paraId="426D3119">
      <w:pPr>
        <w:pStyle w:val="5"/>
        <w:keepNext w:val="0"/>
        <w:keepLines w:val="0"/>
        <w:widowControl/>
        <w:suppressLineNumbers w:val="0"/>
        <w:spacing w:before="75" w:beforeAutospacing="0" w:after="75" w:afterAutospacing="0"/>
        <w:ind w:left="0" w:right="0" w:firstLine="480"/>
      </w:pPr>
      <w:r>
        <w:rPr>
          <w:rFonts w:hint="default" w:ascii="Calibri" w:hAnsi="Calibri" w:cs="Calibri"/>
          <w:spacing w:val="0"/>
          <w:sz w:val="24"/>
          <w:szCs w:val="24"/>
        </w:rPr>
        <w:t>a</w:t>
      </w:r>
      <w:r>
        <w:rPr>
          <w:rFonts w:hint="eastAsia" w:ascii="宋体" w:hAnsi="宋体" w:eastAsia="宋体" w:cs="宋体"/>
          <w:spacing w:val="0"/>
          <w:sz w:val="24"/>
          <w:szCs w:val="24"/>
        </w:rPr>
        <w:t>.除不可抗力外，因中标人自身原因未在中标通知书要求的期限内与采购人签订政府采购合同；</w:t>
      </w:r>
    </w:p>
    <w:p w14:paraId="4323BEC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b.未按照招标文件、投标文件的约定签订政府采购合同或提交履约保证金。</w:t>
      </w:r>
    </w:p>
    <w:p w14:paraId="25FBF8D6">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※若上述投标保证金不予退还情形给采购人（采购代理机构）造成损失，则投标人还要承担相应的赔偿责任。</w:t>
      </w:r>
    </w:p>
    <w:p w14:paraId="618A103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10.10投标文件的提交</w:t>
      </w:r>
    </w:p>
    <w:p w14:paraId="42BCFD9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（1）一个投标人只能提交一个投标文件，并按照招标文件第一章规定将其送达。</w:t>
      </w:r>
    </w:p>
    <w:p w14:paraId="08FAFD6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（2）密封及其标记的具体形式：详见招标文件第二章。</w:t>
      </w:r>
    </w:p>
    <w:p w14:paraId="40FA3FA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10.11投标文件的补充、修改或撤回</w:t>
      </w:r>
    </w:p>
    <w:p w14:paraId="0911BAF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（1）投标截止时间前，投标人可对所提交的投标文件进行补充、修改或撤回，并书面通知</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w:t>
      </w:r>
    </w:p>
    <w:p w14:paraId="0ED46E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（2）补充、修改的内容应按照本章第</w:t>
      </w:r>
      <w:r>
        <w:rPr>
          <w:rFonts w:hint="default" w:ascii="Calibri" w:hAnsi="Calibri" w:cs="Calibri"/>
          <w:spacing w:val="0"/>
          <w:sz w:val="24"/>
          <w:szCs w:val="24"/>
        </w:rPr>
        <w:t>10.5</w:t>
      </w:r>
      <w:r>
        <w:rPr>
          <w:rFonts w:hint="eastAsia" w:ascii="宋体" w:hAnsi="宋体" w:eastAsia="宋体" w:cs="宋体"/>
          <w:spacing w:val="0"/>
          <w:sz w:val="24"/>
          <w:szCs w:val="24"/>
        </w:rPr>
        <w:t>条第（</w:t>
      </w:r>
      <w:r>
        <w:rPr>
          <w:rFonts w:hint="default" w:ascii="Calibri" w:hAnsi="Calibri" w:cs="Calibri"/>
          <w:spacing w:val="0"/>
          <w:sz w:val="24"/>
          <w:szCs w:val="24"/>
        </w:rPr>
        <w:t>4</w:t>
      </w:r>
      <w:r>
        <w:rPr>
          <w:rFonts w:hint="eastAsia" w:ascii="宋体" w:hAnsi="宋体" w:eastAsia="宋体" w:cs="宋体"/>
          <w:spacing w:val="0"/>
          <w:sz w:val="24"/>
          <w:szCs w:val="24"/>
        </w:rPr>
        <w:t>）款规定进行签署、盖章，并按照本章第</w:t>
      </w:r>
      <w:r>
        <w:rPr>
          <w:rFonts w:hint="default" w:ascii="Calibri" w:hAnsi="Calibri" w:cs="Calibri"/>
          <w:spacing w:val="0"/>
          <w:sz w:val="24"/>
          <w:szCs w:val="24"/>
        </w:rPr>
        <w:t>10.10</w:t>
      </w:r>
      <w:r>
        <w:rPr>
          <w:rFonts w:hint="eastAsia" w:ascii="宋体" w:hAnsi="宋体" w:eastAsia="宋体" w:cs="宋体"/>
          <w:spacing w:val="0"/>
          <w:sz w:val="24"/>
          <w:szCs w:val="24"/>
        </w:rPr>
        <w:t>条规定提交，</w:t>
      </w:r>
      <w:r>
        <w:rPr>
          <w:rStyle w:val="8"/>
          <w:rFonts w:hint="eastAsia" w:ascii="宋体" w:hAnsi="宋体" w:eastAsia="宋体" w:cs="宋体"/>
          <w:b/>
          <w:spacing w:val="0"/>
          <w:sz w:val="24"/>
          <w:szCs w:val="24"/>
        </w:rPr>
        <w:t>否则将被拒收。</w:t>
      </w:r>
    </w:p>
    <w:p w14:paraId="3E92AF73">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※按照上述规定提交的补充、修改内容作为投标文件组成部分。</w:t>
      </w:r>
    </w:p>
    <w:p w14:paraId="1F1A5D1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10.12除招标文件另有规定外，有下列情形之一的，</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w:t>
      </w:r>
    </w:p>
    <w:p w14:paraId="7B19DCB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（1）投标文件未按照招标文件要求签署、盖章；</w:t>
      </w:r>
    </w:p>
    <w:p w14:paraId="5CC71A6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（2）不符合招标文件中规定的资格要求；</w:t>
      </w:r>
    </w:p>
    <w:p w14:paraId="5CFB304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（3）投标报价超过招标文件中规定的预算金额或最高限价；</w:t>
      </w:r>
    </w:p>
    <w:p w14:paraId="254B4AB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（4）投标文件含有采购人不能接受的附加条件；</w:t>
      </w:r>
    </w:p>
    <w:p w14:paraId="492B218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（5）有关法律、法规和规章及招标文件规定的其他无效情形。</w:t>
      </w:r>
    </w:p>
    <w:p w14:paraId="1C799B0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69E0932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50FA7BD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E9485B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165020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007D6A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97C7D8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8A9943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DF463A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F235E9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4A5A7A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F63A22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5F1661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C9E8B9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17EA32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8C2E82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59BE2C9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3AB1AE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A4C7F3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3646E8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749F11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E4BAB11">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86E0CB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89E42A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14AE134">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五、开标</w:t>
      </w:r>
    </w:p>
    <w:p w14:paraId="50E2E63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11、开标</w:t>
      </w:r>
    </w:p>
    <w:p w14:paraId="30CE3F6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11.1</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将在招标文件载明的开标时间及地点主持召开开标会，并邀请投标人参加。</w:t>
      </w:r>
    </w:p>
    <w:p w14:paraId="39A99D6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11.2开标会的主持人、唱标人、记录人及其他工作人员（若有）均由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派出，现场监督人员（若有）可由有关方面派出。</w:t>
      </w:r>
    </w:p>
    <w:p w14:paraId="6B5FE17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11.3参加开标会的投标人应签到，非投标人不参加开标会。</w:t>
      </w:r>
    </w:p>
    <w:p w14:paraId="3A04686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11.4开标会应遵守下列规定：</w:t>
      </w:r>
    </w:p>
    <w:p w14:paraId="2E2B18C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（1）首先由主持人宣布开标会须知，然后由投标人代表对投标文件的密封情况进行检查，经确认无误后，由工作人员对密封的投标文件当众拆封。</w:t>
      </w:r>
    </w:p>
    <w:p w14:paraId="265CA3D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唱标时，唱标人将依次宣布“投标人名称”、“各投标人关于投标文件补充、修改或撤回的书面通知（若有）”、“各投标人的投标报价”和招标文件规定的需要宣布的其他内容（包括但不限于：开标一览表中的内容、唱标人认为需要宣布的内容等）。</w:t>
      </w:r>
    </w:p>
    <w:p w14:paraId="10183D4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（3）记录人对唱标人宣布的内容作开标记录。</w:t>
      </w:r>
    </w:p>
    <w:p w14:paraId="74EFFFC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唱标结束后，投标人代表应对开标记录进行签字确认。投标人代表的签字确认，视为投标人对开标过程和开标记录予以认可。投标人代表拒绝签字确认且无正当理由，亦视为投标人对开标过程和开标记录予以认可。</w:t>
      </w:r>
    </w:p>
    <w:p w14:paraId="53FA446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（5）投标人代表对开标过程和开标记录有疑义，以及认为采购人（采购代理机构）相关工作人员有需要回避情形的，应当场提出询问或回避申请。否则，视为投标人对开标过程和开标记录予以认可。</w:t>
      </w:r>
    </w:p>
    <w:p w14:paraId="33487EE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（6）若投标人未参加开标会（包括但不限于投标人派出的人员不是投标人代表），视同其对开标过程和开标记录予以认可。</w:t>
      </w:r>
    </w:p>
    <w:p w14:paraId="1EC38DD1">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※若出现本章第</w:t>
      </w:r>
      <w:r>
        <w:rPr>
          <w:rStyle w:val="8"/>
          <w:rFonts w:hint="default" w:ascii="Calibri" w:hAnsi="Calibri" w:cs="Calibri"/>
          <w:b/>
          <w:spacing w:val="0"/>
          <w:sz w:val="24"/>
          <w:szCs w:val="24"/>
        </w:rPr>
        <w:t>11.4</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4</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5</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6</w:t>
      </w:r>
      <w:r>
        <w:rPr>
          <w:rStyle w:val="8"/>
          <w:rFonts w:hint="eastAsia" w:ascii="宋体" w:hAnsi="宋体" w:eastAsia="宋体" w:cs="宋体"/>
          <w:b/>
          <w:spacing w:val="0"/>
          <w:sz w:val="24"/>
          <w:szCs w:val="24"/>
        </w:rPr>
        <w:t>）款规定情形之一</w:t>
      </w:r>
      <w:r>
        <w:rPr>
          <w:rFonts w:hint="eastAsia" w:ascii="宋体" w:hAnsi="宋体" w:eastAsia="宋体" w:cs="宋体"/>
          <w:spacing w:val="0"/>
          <w:sz w:val="24"/>
          <w:szCs w:val="24"/>
        </w:rPr>
        <w:t>，</w:t>
      </w:r>
      <w:r>
        <w:rPr>
          <w:rStyle w:val="8"/>
          <w:rFonts w:hint="eastAsia" w:ascii="宋体" w:hAnsi="宋体" w:eastAsia="宋体" w:cs="宋体"/>
          <w:b/>
          <w:spacing w:val="0"/>
          <w:sz w:val="24"/>
          <w:szCs w:val="24"/>
        </w:rPr>
        <w:t>则投标人不得在开标会后就开标过程和开标记录涉及或可能涉及的有关事由（包括但不限于：“投标报价”、“投标文件的格式”、“投标文件的提交”、“投标文件的补充、修改或撤回”等）向</w:t>
      </w:r>
      <w:r>
        <w:rPr>
          <w:rFonts w:hint="eastAsia" w:ascii="宋体" w:hAnsi="宋体" w:eastAsia="宋体" w:cs="宋体"/>
          <w:spacing w:val="0"/>
          <w:sz w:val="24"/>
          <w:szCs w:val="24"/>
          <w:u w:val="single"/>
        </w:rPr>
        <w:t>福建省顺鑫招标代理有限公司</w:t>
      </w:r>
      <w:r>
        <w:rPr>
          <w:rStyle w:val="8"/>
          <w:rFonts w:hint="eastAsia" w:ascii="宋体" w:hAnsi="宋体" w:eastAsia="宋体" w:cs="宋体"/>
          <w:b/>
          <w:spacing w:val="0"/>
          <w:sz w:val="24"/>
          <w:szCs w:val="24"/>
        </w:rPr>
        <w:t>提出任何疑义或要求（包括质疑）。</w:t>
      </w:r>
    </w:p>
    <w:p w14:paraId="20B22EB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11.5投标截止时间后，参加投标的投标人不足三家的，不进行开标。同时，本次采购活动结束，</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将依法组织后续采购活动（包括但不限于：重新招标、采用其他方式采购等）。</w:t>
      </w:r>
    </w:p>
    <w:p w14:paraId="414E635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1148974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A9D18C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EAEE8D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854210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63A621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19B4EC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7FCE47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C1A6B80">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六、中标与政府采购合同</w:t>
      </w:r>
    </w:p>
    <w:p w14:paraId="0AE53AA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12、中标</w:t>
      </w:r>
    </w:p>
    <w:p w14:paraId="090126F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12.1本项目推荐的中标候选人家数：详见招标文件第二章。</w:t>
      </w:r>
    </w:p>
    <w:p w14:paraId="3F803F8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12.2本项目中标人的确定：详见招标文件第二章。</w:t>
      </w:r>
    </w:p>
    <w:p w14:paraId="7840698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12.3中标公告</w:t>
      </w:r>
    </w:p>
    <w:p w14:paraId="7E130B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（1）中标人确定之日起</w:t>
      </w:r>
      <w:r>
        <w:rPr>
          <w:rFonts w:hint="default" w:ascii="Calibri" w:hAnsi="Calibri" w:cs="Calibri"/>
          <w:spacing w:val="0"/>
          <w:sz w:val="24"/>
          <w:szCs w:val="24"/>
        </w:rPr>
        <w:t>2</w:t>
      </w:r>
      <w:r>
        <w:rPr>
          <w:rFonts w:hint="eastAsia" w:ascii="宋体" w:hAnsi="宋体" w:eastAsia="宋体" w:cs="宋体"/>
          <w:spacing w:val="0"/>
          <w:sz w:val="24"/>
          <w:szCs w:val="24"/>
        </w:rPr>
        <w:t>个工作日内，</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将在招标文件载明的指定媒体以中标公告的形式发布中标结果。</w:t>
      </w:r>
    </w:p>
    <w:p w14:paraId="3693D2C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（2）中标公告的公告期限为</w:t>
      </w:r>
      <w:r>
        <w:rPr>
          <w:rFonts w:hint="default" w:ascii="Calibri" w:hAnsi="Calibri" w:cs="Calibri"/>
          <w:spacing w:val="0"/>
          <w:sz w:val="24"/>
          <w:szCs w:val="24"/>
        </w:rPr>
        <w:t>1</w:t>
      </w:r>
      <w:r>
        <w:rPr>
          <w:rFonts w:hint="eastAsia" w:ascii="宋体" w:hAnsi="宋体" w:eastAsia="宋体" w:cs="宋体"/>
          <w:spacing w:val="0"/>
          <w:sz w:val="24"/>
          <w:szCs w:val="24"/>
        </w:rPr>
        <w:t>个工作日。</w:t>
      </w:r>
    </w:p>
    <w:p w14:paraId="0841403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（3）中标公告同时作为</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通知除中标人外的其他投标人没有中标的书面形式。</w:t>
      </w:r>
    </w:p>
    <w:p w14:paraId="2C461FC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12.4中标通知书</w:t>
      </w:r>
    </w:p>
    <w:p w14:paraId="6286A39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（1）中标公告发布的同时，</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将向中标人发出中标通知书。</w:t>
      </w:r>
    </w:p>
    <w:p w14:paraId="5F319EB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（2）中标通知书发出后，采购人不得违法改变中标结果，中标人无正当理由不得放弃中标。</w:t>
      </w:r>
    </w:p>
    <w:p w14:paraId="12D76E0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13、政府采购合同</w:t>
      </w:r>
    </w:p>
    <w:p w14:paraId="511B83B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13.1签订政府采购合同应遵守政府采购法及实施条例的规定，不得对招标文件确定的事项和中标人的投标文件作实质性修改。采购人不得向中标人提出任何不合理的要求作为政府采购合同的签订条件。</w:t>
      </w:r>
    </w:p>
    <w:p w14:paraId="7392ACC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13.2签订时限：自中标通知书发出之日起</w:t>
      </w:r>
      <w:r>
        <w:rPr>
          <w:rFonts w:hint="default" w:ascii="Calibri" w:hAnsi="Calibri" w:cs="Calibri"/>
          <w:spacing w:val="0"/>
          <w:sz w:val="24"/>
          <w:szCs w:val="24"/>
        </w:rPr>
        <w:t>30</w:t>
      </w:r>
      <w:r>
        <w:rPr>
          <w:rFonts w:hint="eastAsia" w:ascii="宋体" w:hAnsi="宋体" w:eastAsia="宋体" w:cs="宋体"/>
          <w:spacing w:val="0"/>
          <w:sz w:val="24"/>
          <w:szCs w:val="24"/>
        </w:rPr>
        <w:t>个日历日内。</w:t>
      </w:r>
    </w:p>
    <w:p w14:paraId="3CC8580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13.3政府采购合同的履行、违约责任和解决争议的方法等适用合同法。</w:t>
      </w:r>
    </w:p>
    <w:p w14:paraId="56035FD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13.4采购人与中标人应根据政府采购合同的约定依法履行合同义务。</w:t>
      </w:r>
    </w:p>
    <w:p w14:paraId="29A6A0BF">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13.5政府采购合同履行过程中，采购人若需追加与合同标的相同的货物或服务，则追加采购金额不得超过原合同采购金额的</w:t>
      </w:r>
      <w:r>
        <w:rPr>
          <w:rFonts w:hint="default" w:ascii="Calibri" w:hAnsi="Calibri" w:cs="Calibri"/>
          <w:spacing w:val="0"/>
          <w:sz w:val="24"/>
          <w:szCs w:val="24"/>
        </w:rPr>
        <w:t>10%</w:t>
      </w:r>
      <w:r>
        <w:rPr>
          <w:rFonts w:hint="eastAsia" w:ascii="宋体" w:hAnsi="宋体" w:eastAsia="宋体" w:cs="宋体"/>
          <w:spacing w:val="0"/>
          <w:sz w:val="24"/>
          <w:szCs w:val="24"/>
        </w:rPr>
        <w:t>。</w:t>
      </w:r>
    </w:p>
    <w:p w14:paraId="6845A0B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13.6中标人在政府采购合同履行过程中应遵守有关法律、法规和规章的强制性规定（即使前述强制性规定有可能在招标文件中未予列明）。</w:t>
      </w:r>
    </w:p>
    <w:p w14:paraId="735F5D0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0D16599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FBCBF9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0C15F6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C717D4C">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728257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77151E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417BDB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5A60C68C">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661A62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77472A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0350FBF">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七、询问、质疑与投诉</w:t>
      </w:r>
    </w:p>
    <w:p w14:paraId="5BED65F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14、询问</w:t>
      </w:r>
    </w:p>
    <w:p w14:paraId="2370509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14.1潜在投标人或投标人对本次采购活动的有关事项若有疑问，可向福建省顺鑫招标代理有限公司提出询问，福建省顺鑫招标代理有限公司将按照政府采购法及实施条例的有关规定进行答复。</w:t>
      </w:r>
    </w:p>
    <w:p w14:paraId="47C862F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15、质疑</w:t>
      </w:r>
    </w:p>
    <w:p w14:paraId="675AE4B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15.1</w:t>
      </w:r>
      <w:r>
        <w:rPr>
          <w:rFonts w:hint="eastAsia" w:ascii="宋体" w:hAnsi="宋体" w:eastAsia="宋体" w:cs="宋体"/>
        </w:rPr>
        <w:t>针对同一采购程序环节的质疑应在政府采购法及实施条例规定的时限内一次性提出</w:t>
      </w:r>
      <w:r>
        <w:rPr>
          <w:rFonts w:hint="eastAsia" w:ascii="宋体" w:hAnsi="宋体" w:eastAsia="宋体" w:cs="宋体"/>
          <w:spacing w:val="0"/>
        </w:rPr>
        <w:t>，并同时符合下列条件：</w:t>
      </w:r>
    </w:p>
    <w:p w14:paraId="54A432D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（1）对招标文件提出质疑的，质疑人应为潜在投标人，且两者的身份、名称等均应保持一致。对采购过程、结果提出质疑的，质疑人应为投标人，且两者的身份、名称等均应保持一致。</w:t>
      </w:r>
    </w:p>
    <w:p w14:paraId="5D00504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（2）质疑人应按照招标文件第二章规定方式提交质疑函。</w:t>
      </w:r>
    </w:p>
    <w:p w14:paraId="6B5B0C0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（3）质疑函应包括下列主要内容：</w:t>
      </w:r>
    </w:p>
    <w:p w14:paraId="2EC543F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①质疑人的基本信息，至少包括：全称、地址、邮政编码等；</w:t>
      </w:r>
    </w:p>
    <w:p w14:paraId="184443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②所质疑项目的基本信息，至少包括：招标编号、项目名称等；</w:t>
      </w:r>
    </w:p>
    <w:p w14:paraId="1F5E343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③所质疑的具体事项（以下简称：“质疑事项”）；</w:t>
      </w:r>
    </w:p>
    <w:p w14:paraId="63707BD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针对质疑事项提出的明确请求，前述明确请求指质疑人提出质疑的目的以及希望福建省顺鑫招标代理有限公司对其质疑作出的处理结果，如：暂停招标投标活动、修改招标文件、停止或纠正违法违规行为、中标结果无效、废标、重新招标等；</w:t>
      </w:r>
    </w:p>
    <w:p w14:paraId="67DD526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⑤针对质疑事项导致质疑人自身权益受到损害的必要证明材料，至少包括：</w:t>
      </w:r>
    </w:p>
    <w:p w14:paraId="0A025E3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a.质疑人代表的身份证明材料：</w:t>
      </w:r>
    </w:p>
    <w:p w14:paraId="4AEAE81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a1</w:t>
      </w:r>
      <w:r>
        <w:rPr>
          <w:rFonts w:hint="eastAsia" w:ascii="宋体" w:hAnsi="宋体" w:eastAsia="宋体" w:cs="宋体"/>
        </w:rPr>
        <w:t>质疑人为法人或其他组织的，提供统一社会信用代码营业执照等证明文件的副本复印件、单位负责人的身份证复印件；质疑人代表为委托代理人的，还应同时提供单位负责人授权书（应载明代理人的姓名或者名称、代理事项、具体权限、期限和相关事项，授权书应由单位负责人签字或盖章，并加盖投标人的单位公章）和委托代理人的身份证复印件</w:t>
      </w:r>
      <w:r>
        <w:rPr>
          <w:rFonts w:hint="eastAsia" w:ascii="宋体" w:hAnsi="宋体" w:eastAsia="宋体" w:cs="宋体"/>
          <w:spacing w:val="0"/>
        </w:rPr>
        <w:t>。</w:t>
      </w:r>
    </w:p>
    <w:p w14:paraId="51A0CD0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a2若本项目接受自然人投标且质疑人为自然人的，提供本人的身份证复印件。</w:t>
      </w:r>
    </w:p>
    <w:p w14:paraId="5C30D0B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w:t>
      </w:r>
      <w:r>
        <w:rPr>
          <w:rFonts w:hint="eastAsia" w:ascii="宋体" w:hAnsi="宋体" w:eastAsia="宋体" w:cs="宋体"/>
        </w:rPr>
        <w:t>其他证明材料（即事实依据和必要的法律依据）</w:t>
      </w:r>
      <w:r>
        <w:rPr>
          <w:rFonts w:hint="eastAsia" w:ascii="宋体" w:hAnsi="宋体" w:eastAsia="宋体" w:cs="宋体"/>
          <w:spacing w:val="0"/>
        </w:rPr>
        <w:t>包括但不限于下列材料：</w:t>
      </w:r>
    </w:p>
    <w:p w14:paraId="2940D0F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b1所质疑的具体事项是与自已有利害关系的证明材料；</w:t>
      </w:r>
    </w:p>
    <w:p w14:paraId="4AD2FE3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b2质疑函所述事实存在的证明材料，如：采购文件、采购过程或中标结果违法违规或不符合采购文件要求等证明材料；</w:t>
      </w:r>
    </w:p>
    <w:p w14:paraId="41E1E1C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b3依法应终止采购程序的证明材料；</w:t>
      </w:r>
    </w:p>
    <w:p w14:paraId="18605E4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b4应重新采购的证明材料；</w:t>
      </w:r>
    </w:p>
    <w:p w14:paraId="3CE66CB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b5采购文件、采购过程或中标、成交结果损害自已合法权益的证明材料等；</w:t>
      </w:r>
    </w:p>
    <w:p w14:paraId="4FBB741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8"/>
          <w:rFonts w:hint="eastAsia" w:ascii="宋体" w:hAnsi="宋体" w:eastAsia="宋体" w:cs="宋体"/>
          <w:b/>
          <w:spacing w:val="0"/>
          <w:sz w:val="24"/>
          <w:szCs w:val="24"/>
        </w:rPr>
        <w:t>视为无效</w:t>
      </w:r>
      <w:r>
        <w:rPr>
          <w:rFonts w:hint="eastAsia" w:ascii="宋体" w:hAnsi="宋体" w:eastAsia="宋体" w:cs="宋体"/>
          <w:spacing w:val="0"/>
          <w:sz w:val="24"/>
          <w:szCs w:val="24"/>
        </w:rPr>
        <w:t>）。</w:t>
      </w:r>
      <w:r>
        <w:rPr>
          <w:rFonts w:hint="eastAsia" w:ascii="宋体" w:hAnsi="宋体" w:eastAsia="宋体" w:cs="宋体"/>
          <w:spacing w:val="0"/>
          <w:sz w:val="24"/>
          <w:szCs w:val="24"/>
        </w:rPr>
        <w:br w:type="textWrapping"/>
      </w:r>
      <w:r>
        <w:rPr>
          <w:rFonts w:hint="eastAsia" w:ascii="宋体" w:hAnsi="宋体" w:eastAsia="宋体" w:cs="宋体"/>
        </w:rPr>
        <w:t>   ⑥质疑人代表及其联系方法的信息，至少包括：姓名、手机、电子信箱、邮寄地址等。</w:t>
      </w:r>
      <w:r>
        <w:rPr>
          <w:rFonts w:hint="eastAsia" w:ascii="宋体" w:hAnsi="宋体" w:eastAsia="宋体" w:cs="宋体"/>
        </w:rPr>
        <w:br w:type="textWrapping"/>
      </w:r>
      <w:r>
        <w:rPr>
          <w:rFonts w:hint="eastAsia" w:ascii="宋体" w:hAnsi="宋体" w:eastAsia="宋体" w:cs="宋体"/>
        </w:rPr>
        <w:t>   ⑦提出质疑的日期。</w:t>
      </w:r>
    </w:p>
    <w:p w14:paraId="0A77AB8E">
      <w:pPr>
        <w:pStyle w:val="5"/>
        <w:keepNext w:val="0"/>
        <w:keepLines w:val="0"/>
        <w:widowControl/>
        <w:suppressLineNumbers w:val="0"/>
        <w:spacing w:before="0" w:beforeAutospacing="0" w:after="150" w:afterAutospacing="0"/>
        <w:ind w:left="0" w:right="0" w:firstLine="480"/>
      </w:pPr>
      <w:r>
        <w:rPr>
          <w:rStyle w:val="8"/>
          <w:rFonts w:hint="eastAsia" w:ascii="宋体" w:hAnsi="宋体" w:eastAsia="宋体" w:cs="宋体"/>
          <w:b/>
          <w:sz w:val="24"/>
          <w:szCs w:val="24"/>
        </w:rPr>
        <w:t>※质疑人为法人或其他组织的，质疑函应由单位负责人或委托代理人签字或盖章，并加盖投标人的单位公章。质疑人为自然人的，质疑函应由本人签字。</w:t>
      </w:r>
    </w:p>
    <w:p w14:paraId="071BE50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15.2对不符合本章第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条规定的质疑，将按照下列规定进行处理：</w:t>
      </w:r>
    </w:p>
    <w:p w14:paraId="66CF4BB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（1）不符合其中第（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）条规定的，书面告知质疑人不予受理及其理由。</w:t>
      </w:r>
    </w:p>
    <w:p w14:paraId="284095B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（2）不符合其中第（</w:t>
      </w:r>
      <w:r>
        <w:rPr>
          <w:rFonts w:hint="default" w:ascii="Calibri" w:hAnsi="Calibri" w:cs="Calibri"/>
          <w:spacing w:val="0"/>
          <w:sz w:val="24"/>
          <w:szCs w:val="24"/>
        </w:rPr>
        <w:t>3</w:t>
      </w:r>
      <w:r>
        <w:rPr>
          <w:rFonts w:hint="eastAsia" w:ascii="宋体" w:hAnsi="宋体" w:eastAsia="宋体" w:cs="宋体"/>
          <w:spacing w:val="0"/>
          <w:sz w:val="24"/>
          <w:szCs w:val="24"/>
        </w:rPr>
        <w:t>）条规定的，书面告知质疑人修改、补充后在规定时限内重新提交质疑函。</w:t>
      </w:r>
    </w:p>
    <w:p w14:paraId="46E7B73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15.3对符合本章第</w:t>
      </w:r>
      <w:r>
        <w:rPr>
          <w:rFonts w:hint="default" w:ascii="Calibri" w:hAnsi="Calibri" w:cs="Calibri"/>
          <w:spacing w:val="0"/>
          <w:sz w:val="24"/>
          <w:szCs w:val="24"/>
        </w:rPr>
        <w:t>15.1</w:t>
      </w:r>
      <w:r>
        <w:rPr>
          <w:rFonts w:hint="eastAsia" w:ascii="宋体" w:hAnsi="宋体" w:eastAsia="宋体" w:cs="宋体"/>
          <w:spacing w:val="0"/>
          <w:sz w:val="24"/>
          <w:szCs w:val="24"/>
        </w:rPr>
        <w:t>条规定的质疑，将按照政府采购法及实施条例</w:t>
      </w:r>
      <w:r>
        <w:rPr>
          <w:rFonts w:hint="eastAsia" w:ascii="宋体" w:hAnsi="宋体" w:eastAsia="宋体" w:cs="宋体"/>
        </w:rPr>
        <w:t>、政府采购质疑和投诉办法</w:t>
      </w:r>
      <w:r>
        <w:rPr>
          <w:rFonts w:hint="eastAsia" w:ascii="宋体" w:hAnsi="宋体" w:eastAsia="宋体" w:cs="宋体"/>
          <w:spacing w:val="0"/>
        </w:rPr>
        <w:t>的有关规定进行答复。</w:t>
      </w:r>
    </w:p>
    <w:p w14:paraId="73AD9F8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15.4招标文件的质疑：详见招标文件第二章。</w:t>
      </w:r>
    </w:p>
    <w:p w14:paraId="675A217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16、投诉</w:t>
      </w:r>
    </w:p>
    <w:p w14:paraId="01CC9EE7">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16.1若对质疑答复不满意或质疑答复未在答复期限内作出，质疑人可在答复期限届满之日起</w:t>
      </w:r>
      <w:r>
        <w:rPr>
          <w:rFonts w:hint="default" w:ascii="Calibri" w:hAnsi="Calibri" w:eastAsia="宋体" w:cs="Calibri"/>
          <w:sz w:val="24"/>
          <w:szCs w:val="24"/>
        </w:rPr>
        <w:t>15</w:t>
      </w:r>
      <w:r>
        <w:rPr>
          <w:rFonts w:hint="eastAsia" w:ascii="宋体" w:hAnsi="宋体" w:eastAsia="宋体" w:cs="宋体"/>
          <w:sz w:val="24"/>
          <w:szCs w:val="24"/>
        </w:rPr>
        <w:t>个工作日内按照政府采购质疑和投诉办法的有关规定向招标文件第二章载明的本项目监督管理部门提起投诉。</w:t>
      </w:r>
    </w:p>
    <w:p w14:paraId="6A468A4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16.2投诉应有明确的请求和必要的证明材料，投诉的事项不得超出已质疑事项的范围。</w:t>
      </w:r>
    </w:p>
    <w:p w14:paraId="21FFC04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6244DBB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BB1558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8316F6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291E17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F76E36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B5B264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1F9FD05">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74E641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F9BCB3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5466DB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0060E1C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2E2AFB6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1BBF6B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0E1BF0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1C4F17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463263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9394EC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0645D11">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八、政府采购政策</w:t>
      </w:r>
    </w:p>
    <w:p w14:paraId="78C77C7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17、政府采购政策由财政部根据国家的经济和社会发展政策并会同国家有关部委制定，包括但不限于下列具体政策要求：</w:t>
      </w:r>
    </w:p>
    <w:p w14:paraId="0FB823DB">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17.1进口产品指通过中国海关报关验放进入中国境内且产自关境外的产品，其中：</w:t>
      </w:r>
    </w:p>
    <w:p w14:paraId="4D85736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590531D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（2）凡在海关特殊监管区域内企业生产或加工（包括从境外进口料件）销往境内其他地区的产品，不作为政府采购项下进口产品。</w:t>
      </w:r>
    </w:p>
    <w:p w14:paraId="211F417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（3）对从境外进入海关特殊监管区域，再经办理报关手续后从海关特殊监管区进入境内其他地区的产品，认定为进口产品。</w:t>
      </w:r>
    </w:p>
    <w:p w14:paraId="02A8DE0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（4）招标文件列明不允许或未列明允许进口产品参加投标的，均视为拒绝进口产品参加投标。</w:t>
      </w:r>
    </w:p>
    <w:p w14:paraId="0F1CF3C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17.2节能产品指列入财政部、国家发展和改革委员会《节能产品政府采购清单》（以下简称：“节能清单”）且认证证书在有效期内的产品。环境标志产品指列入财政部、生态环境部《环境标志产品政府采购清单》（以下简称：“环保清单”）且认证证书在有效期内的产品，或及国家确定的认证机构出具的、处于有效期之内的节能产品、环境标志产品认证证书的产品。其中：</w:t>
      </w:r>
    </w:p>
    <w:p w14:paraId="01D6F9D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节能清单所列产品包括政府强制采购和优先采购的节能产品。未列入节能清单的产品，不属于政府强制采购、优先采购的节能产品（以下分别简称：“强制类节能产品”、“优先类节能产品”）范围。节能清单中的产品，其制造商名称或地址在清单执行期内依法变更的，经有关认证机构核准并办理认证证书变更手续后，仍属于节能清单的范围。节能清单中的台式计算机产品的性能参数应与节能清单所列性能参数一致，否则不属于节能清单的范围。</w:t>
      </w:r>
    </w:p>
    <w:p w14:paraId="31836FA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环保清单所列产品为政府优先采购产品。未列入环保清单的产品，不属于政府优先采购的环境标志产品范围。环保清单中的产品，其制造商名称或地址在清单执行期内依法变更的，经有关认证机构核准并办理认证证书变更手续后，仍属于环保清单的范围。环保清单中的台式计算机产品的性能参数应与环保清单所列性能参数一致，否则不属于环保清单的范围。</w:t>
      </w:r>
    </w:p>
    <w:p w14:paraId="2DCE0AB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（3）对于同时列入节能清单和环保清单的产品，优先于只列入其中一个清单的产品。</w:t>
      </w:r>
    </w:p>
    <w:p w14:paraId="79F87DB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（4）在财政部会同上述国家部委调整公布最新一期节能或环保清单通知发布之前已经开展但尚未进入评审环节的采购活动，按照招标文件约定的期数执行。在发布之后开展的采购活动，按照最新一期执行。</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   （5）未在节能清单、环保清单内的产品应提交国家确定的认证机构出具的、处于有效期之内的节能产品、环境标志产品认证证书。</w:t>
      </w:r>
    </w:p>
    <w:p w14:paraId="58A6F81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14:paraId="560FEB9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17.4符合财政部、工信部文件（财库</w:t>
      </w:r>
      <w:r>
        <w:rPr>
          <w:rFonts w:hint="default" w:ascii="Calibri" w:hAnsi="Calibri" w:cs="Calibri"/>
          <w:spacing w:val="0"/>
          <w:sz w:val="24"/>
          <w:szCs w:val="24"/>
        </w:rPr>
        <w:t>[2011]181</w:t>
      </w:r>
      <w:r>
        <w:rPr>
          <w:rFonts w:hint="eastAsia" w:ascii="宋体" w:hAnsi="宋体" w:eastAsia="宋体" w:cs="宋体"/>
          <w:spacing w:val="0"/>
          <w:sz w:val="24"/>
          <w:szCs w:val="24"/>
        </w:rPr>
        <w:t>号）规定的</w:t>
      </w:r>
      <w:r>
        <w:rPr>
          <w:rStyle w:val="8"/>
          <w:rFonts w:hint="eastAsia" w:ascii="宋体" w:hAnsi="宋体" w:eastAsia="宋体" w:cs="宋体"/>
          <w:b/>
          <w:spacing w:val="0"/>
          <w:sz w:val="24"/>
          <w:szCs w:val="24"/>
        </w:rPr>
        <w:t>小型、微型企业</w:t>
      </w:r>
      <w:r>
        <w:rPr>
          <w:rFonts w:hint="eastAsia" w:ascii="宋体" w:hAnsi="宋体" w:eastAsia="宋体" w:cs="宋体"/>
          <w:spacing w:val="0"/>
          <w:sz w:val="24"/>
          <w:szCs w:val="24"/>
        </w:rPr>
        <w:t>可享受扶持政策（如：预留份额、评审中价格扣除等）。符合财政部、司法部文件（财库[2014]68号）规定的监狱企业（以下简称：</w:t>
      </w:r>
      <w:r>
        <w:rPr>
          <w:rStyle w:val="8"/>
          <w:rFonts w:hint="eastAsia" w:ascii="宋体" w:hAnsi="宋体" w:eastAsia="宋体" w:cs="宋体"/>
          <w:b/>
          <w:spacing w:val="0"/>
          <w:sz w:val="24"/>
          <w:szCs w:val="24"/>
        </w:rPr>
        <w:t>“监狱企业”</w:t>
      </w:r>
      <w:r>
        <w:rPr>
          <w:rFonts w:hint="eastAsia" w:ascii="宋体" w:hAnsi="宋体" w:eastAsia="宋体" w:cs="宋体"/>
          <w:spacing w:val="0"/>
          <w:sz w:val="24"/>
          <w:szCs w:val="24"/>
        </w:rPr>
        <w:t>）亦可享受前述扶持政策。符合财政部、民政部、中国残联文件（财库[2017]141号）规定的残疾人福利性单位（以下简称：</w:t>
      </w:r>
      <w:r>
        <w:rPr>
          <w:rStyle w:val="8"/>
          <w:rFonts w:hint="eastAsia" w:ascii="宋体" w:hAnsi="宋体" w:eastAsia="宋体" w:cs="宋体"/>
          <w:b/>
          <w:spacing w:val="0"/>
          <w:sz w:val="24"/>
          <w:szCs w:val="24"/>
        </w:rPr>
        <w:t>“残疾人福利性单位”</w:t>
      </w:r>
      <w:r>
        <w:rPr>
          <w:rFonts w:hint="eastAsia" w:ascii="宋体" w:hAnsi="宋体" w:eastAsia="宋体" w:cs="宋体"/>
          <w:spacing w:val="0"/>
          <w:sz w:val="24"/>
          <w:szCs w:val="24"/>
        </w:rPr>
        <w:t>）亦可享受前述扶持政策。其中：</w:t>
      </w:r>
    </w:p>
    <w:p w14:paraId="249AB75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（1）中小企业指同时符合下列条件的中型、小型、微型企业：</w:t>
      </w:r>
    </w:p>
    <w:p w14:paraId="2AF0C44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①符合《工业和信息化部、国家统计局、国家发展和改革委员会、财政部关于印发中小企业划型标准规定的通知》（工信部联企业</w:t>
      </w:r>
      <w:r>
        <w:rPr>
          <w:rFonts w:hint="default" w:ascii="Calibri" w:hAnsi="Calibri" w:cs="Calibri"/>
          <w:spacing w:val="0"/>
          <w:sz w:val="24"/>
          <w:szCs w:val="24"/>
        </w:rPr>
        <w:t>[2011]300</w:t>
      </w:r>
      <w:r>
        <w:rPr>
          <w:rFonts w:hint="eastAsia" w:ascii="宋体" w:hAnsi="宋体" w:eastAsia="宋体" w:cs="宋体"/>
          <w:spacing w:val="0"/>
          <w:sz w:val="24"/>
          <w:szCs w:val="24"/>
        </w:rPr>
        <w:t>号）规定的划分标准；</w:t>
      </w:r>
    </w:p>
    <w:p w14:paraId="4953CE2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②提供本企业制造的货物、承担的工程或服务，或提供其他中小企业制造的货物。本项所称货物不包括使用大型企业注册商标的货物。小型、微型企业提供中型企业制造的货物，视同中型企业。</w:t>
      </w:r>
    </w:p>
    <w:p w14:paraId="144DCAF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32726C5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①监狱企业参加采购活动时，应提供由省级以上监狱管理局、戒毒管理局（含新疆生产建设兵团）出具的属于监狱企业的证明文件。</w:t>
      </w:r>
    </w:p>
    <w:p w14:paraId="6C625661">
      <w:pPr>
        <w:pStyle w:val="5"/>
        <w:keepNext w:val="0"/>
        <w:keepLines w:val="0"/>
        <w:widowControl/>
        <w:suppressLineNumbers w:val="0"/>
        <w:spacing w:before="75" w:beforeAutospacing="0" w:after="240" w:afterAutospacing="0"/>
        <w:ind w:left="0" w:right="0" w:firstLine="480"/>
      </w:pPr>
      <w:r>
        <w:rPr>
          <w:rFonts w:hint="eastAsia" w:ascii="宋体" w:hAnsi="宋体" w:eastAsia="宋体" w:cs="宋体"/>
          <w:spacing w:val="0"/>
          <w:sz w:val="24"/>
          <w:szCs w:val="24"/>
        </w:rPr>
        <w:t>②监狱企业视同小型、微型企业。</w:t>
      </w:r>
      <w:r>
        <w:rPr>
          <w:rFonts w:hint="eastAsia" w:ascii="宋体" w:hAnsi="宋体" w:eastAsia="宋体" w:cs="宋体"/>
          <w:spacing w:val="0"/>
          <w:sz w:val="24"/>
          <w:szCs w:val="24"/>
        </w:rPr>
        <w:br w:type="textWrapping"/>
      </w:r>
    </w:p>
    <w:p w14:paraId="2A6522F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（3）残疾人福利性单位指同时符合下列条件的单位：</w:t>
      </w:r>
    </w:p>
    <w:p w14:paraId="18ACCDF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①安置的残疾人占本单位在职职工人数的比例不低于</w:t>
      </w:r>
      <w:r>
        <w:rPr>
          <w:rFonts w:hint="default" w:ascii="Calibri" w:hAnsi="Calibri" w:cs="Calibri"/>
          <w:spacing w:val="0"/>
          <w:sz w:val="24"/>
          <w:szCs w:val="24"/>
        </w:rPr>
        <w:t>25%</w:t>
      </w:r>
      <w:r>
        <w:rPr>
          <w:rFonts w:hint="eastAsia" w:ascii="宋体" w:hAnsi="宋体" w:eastAsia="宋体" w:cs="宋体"/>
          <w:spacing w:val="0"/>
          <w:sz w:val="24"/>
          <w:szCs w:val="24"/>
        </w:rPr>
        <w:t>（含</w:t>
      </w:r>
      <w:r>
        <w:rPr>
          <w:rFonts w:hint="default" w:ascii="Calibri" w:hAnsi="Calibri" w:cs="Calibri"/>
          <w:spacing w:val="0"/>
          <w:sz w:val="24"/>
          <w:szCs w:val="24"/>
        </w:rPr>
        <w:t>25%</w:t>
      </w:r>
      <w:r>
        <w:rPr>
          <w:rFonts w:hint="eastAsia" w:ascii="宋体" w:hAnsi="宋体" w:eastAsia="宋体" w:cs="宋体"/>
          <w:spacing w:val="0"/>
          <w:sz w:val="24"/>
          <w:szCs w:val="24"/>
        </w:rPr>
        <w:t>），并且安置的残疾人人数不少于</w:t>
      </w:r>
      <w:r>
        <w:rPr>
          <w:rFonts w:hint="default" w:ascii="Calibri" w:hAnsi="Calibri" w:cs="Calibri"/>
          <w:spacing w:val="0"/>
          <w:sz w:val="24"/>
          <w:szCs w:val="24"/>
        </w:rPr>
        <w:t>10</w:t>
      </w:r>
      <w:r>
        <w:rPr>
          <w:rFonts w:hint="eastAsia" w:ascii="宋体" w:hAnsi="宋体" w:eastAsia="宋体" w:cs="宋体"/>
          <w:spacing w:val="0"/>
          <w:sz w:val="24"/>
          <w:szCs w:val="24"/>
        </w:rPr>
        <w:t>人（含</w:t>
      </w:r>
      <w:r>
        <w:rPr>
          <w:rFonts w:hint="default" w:ascii="Calibri" w:hAnsi="Calibri" w:cs="Calibri"/>
          <w:spacing w:val="0"/>
          <w:sz w:val="24"/>
          <w:szCs w:val="24"/>
        </w:rPr>
        <w:t>10</w:t>
      </w:r>
      <w:r>
        <w:rPr>
          <w:rFonts w:hint="eastAsia" w:ascii="宋体" w:hAnsi="宋体" w:eastAsia="宋体" w:cs="宋体"/>
          <w:spacing w:val="0"/>
          <w:sz w:val="24"/>
          <w:szCs w:val="24"/>
        </w:rPr>
        <w:t>人）；</w:t>
      </w:r>
    </w:p>
    <w:p w14:paraId="692497A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②依法与安置的每位残疾人签订了一年以上（含一年）的劳动合同或服务协议；</w:t>
      </w:r>
    </w:p>
    <w:p w14:paraId="3FACA87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③为安置的每位残疾人按月足额缴纳了基本养老保险、基本医疗保险、失业保险、工伤保险和生育保险等社会保险费；</w:t>
      </w:r>
    </w:p>
    <w:p w14:paraId="356B410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④通过银行等金融机构向安置的每位残疾人，按月支付了不低于单位所在区县适用的经省级人民政府批准的月最低工资标准的工资；</w:t>
      </w:r>
    </w:p>
    <w:p w14:paraId="15E1CA7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⑤提供本单位制造的货物、承担的工程或服务，或提供其他残疾人福利性单位制造的货物（不包括使用非残疾人福利性单位注册商标的货物）。</w:t>
      </w:r>
    </w:p>
    <w:p w14:paraId="280615E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前款所称残疾人指法定劳动年龄内，持有《中华人民共和国残疾人证》或《中华人民共和国残疾军人证（1至</w:t>
      </w:r>
      <w:r>
        <w:rPr>
          <w:rFonts w:hint="default" w:ascii="Calibri" w:hAnsi="Calibri" w:cs="Calibri"/>
          <w:spacing w:val="0"/>
          <w:sz w:val="24"/>
          <w:szCs w:val="24"/>
        </w:rPr>
        <w:t>8</w:t>
      </w:r>
      <w:r>
        <w:rPr>
          <w:rFonts w:hint="eastAsia" w:ascii="宋体" w:hAnsi="宋体" w:eastAsia="宋体" w:cs="宋体"/>
          <w:spacing w:val="0"/>
          <w:sz w:val="24"/>
          <w:szCs w:val="24"/>
        </w:rPr>
        <w:t>级）》的自然人，包括具有劳动条件和劳动意愿的精神残疾人。在职职工人数是指与残疾人福利性单位建立劳动关系并依法签订劳动合同或服务协议的雇员人数。</w:t>
      </w:r>
    </w:p>
    <w:p w14:paraId="26B71928">
      <w:pPr>
        <w:pStyle w:val="5"/>
        <w:keepNext w:val="0"/>
        <w:keepLines w:val="0"/>
        <w:widowControl/>
        <w:suppressLineNumbers w:val="0"/>
        <w:spacing w:before="75" w:beforeAutospacing="0" w:after="75" w:afterAutospacing="0"/>
        <w:ind w:left="0" w:right="0" w:firstLine="480"/>
      </w:pPr>
      <w:r>
        <w:rPr>
          <w:rStyle w:val="8"/>
          <w:rFonts w:hint="eastAsia" w:ascii="宋体" w:hAnsi="宋体" w:eastAsia="宋体" w:cs="宋体"/>
          <w:b/>
          <w:spacing w:val="0"/>
          <w:sz w:val="24"/>
          <w:szCs w:val="24"/>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260AAF9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17.5信用记录指由财政部确定的有关网站提供的相关主体信用信息。信用记录的查询及使用应符合财政部文件（财库</w:t>
      </w:r>
      <w:r>
        <w:rPr>
          <w:rFonts w:hint="default" w:ascii="Calibri" w:hAnsi="Calibri" w:cs="Calibri"/>
          <w:spacing w:val="0"/>
          <w:sz w:val="24"/>
          <w:szCs w:val="24"/>
        </w:rPr>
        <w:t>[2016]125</w:t>
      </w:r>
      <w:r>
        <w:rPr>
          <w:rFonts w:hint="eastAsia" w:ascii="宋体" w:hAnsi="宋体" w:eastAsia="宋体" w:cs="宋体"/>
          <w:spacing w:val="0"/>
          <w:sz w:val="24"/>
          <w:szCs w:val="24"/>
        </w:rPr>
        <w:t>号）规定。</w:t>
      </w:r>
    </w:p>
    <w:p w14:paraId="09D760F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17.6为落实政府采购政策需满足的要求：详见招标文件第一章。</w:t>
      </w:r>
    </w:p>
    <w:p w14:paraId="09CD910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4FB2A2BE">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九、本项目的有关信息</w:t>
      </w:r>
    </w:p>
    <w:p w14:paraId="6497501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18、本项目的有关信息，包括但不限于：招标公告、更正公告（若有）、招标文件、招标文件的澄清或修改（若有）、中标公告、终止公告（若有）、废标公告（若有）等都将在招标文件载明的指定媒体发布。</w:t>
      </w:r>
    </w:p>
    <w:p w14:paraId="2E6F5BB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18.1指定媒体：详见招标文件第二章。</w:t>
      </w:r>
    </w:p>
    <w:p w14:paraId="336D7F6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18.2本项目的潜在投标人或投标人应随时关注指定媒体，否则产生不利后果由其自行承担。</w:t>
      </w:r>
    </w:p>
    <w:p w14:paraId="121B044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4CB92179">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十、其他事项</w:t>
      </w:r>
    </w:p>
    <w:p w14:paraId="4E4AA3C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19、其他事项：详见招标文件第二章。</w:t>
      </w:r>
    </w:p>
    <w:p w14:paraId="07618762">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14:paraId="2EB30FE2">
      <w:pPr>
        <w:pStyle w:val="5"/>
        <w:keepNext w:val="0"/>
        <w:keepLines w:val="0"/>
        <w:widowControl/>
        <w:suppressLineNumbers w:val="0"/>
        <w:shd w:val="clear" w:fill="FFFFFF"/>
        <w:spacing w:before="75" w:beforeAutospacing="0" w:after="75" w:afterAutospacing="0"/>
        <w:ind w:left="0" w:right="0" w:firstLine="0"/>
        <w:rPr>
          <w:rFonts w:hint="eastAsia" w:ascii="微软雅黑" w:hAnsi="微软雅黑" w:eastAsia="微软雅黑" w:cs="微软雅黑"/>
          <w:i w:val="0"/>
          <w:caps w:val="0"/>
          <w:color w:val="393939"/>
          <w:spacing w:val="0"/>
          <w:sz w:val="19"/>
          <w:szCs w:val="19"/>
        </w:rPr>
      </w:pPr>
      <w:r>
        <w:rPr>
          <w:rFonts w:hint="eastAsia" w:ascii="微软雅黑" w:hAnsi="微软雅黑" w:eastAsia="微软雅黑" w:cs="微软雅黑"/>
          <w:i w:val="0"/>
          <w:caps w:val="0"/>
          <w:color w:val="393939"/>
          <w:spacing w:val="0"/>
          <w:sz w:val="24"/>
          <w:szCs w:val="24"/>
          <w:shd w:val="clear" w:fill="FFFFFF"/>
        </w:rPr>
        <w:t> </w:t>
      </w:r>
    </w:p>
    <w:p w14:paraId="31F60F9F">
      <w:pPr>
        <w:pStyle w:val="5"/>
        <w:keepNext w:val="0"/>
        <w:keepLines w:val="0"/>
        <w:widowControl/>
        <w:suppressLineNumbers w:val="0"/>
        <w:spacing w:before="75" w:beforeAutospacing="0" w:after="240" w:afterAutospacing="0"/>
        <w:ind w:left="0" w:right="0" w:firstLine="0"/>
      </w:pPr>
      <w:r>
        <w:rPr>
          <w:rFonts w:hint="default" w:ascii="Calibri" w:hAnsi="Calibri" w:cs="Calibri"/>
          <w:spacing w:val="0"/>
          <w:sz w:val="24"/>
          <w:szCs w:val="24"/>
        </w:rPr>
        <w:t> </w:t>
      </w:r>
    </w:p>
    <w:p w14:paraId="1CFE268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5FF0D9F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57F9B4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6AFD7DC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407A2E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0753E9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6208D43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B22812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747F04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DFC7E97">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第四章   资格审查与评标</w:t>
      </w:r>
    </w:p>
    <w:p w14:paraId="24983CF8">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14:paraId="74152AB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05478869">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一、资格审查</w:t>
      </w:r>
    </w:p>
    <w:p w14:paraId="7E85BAA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1、开标结束后，由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负责资格审查小组的组建及资格审查工作的组织。</w:t>
      </w:r>
    </w:p>
    <w:p w14:paraId="0A45973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1.1资格审查小组由</w:t>
      </w:r>
      <w:r>
        <w:rPr>
          <w:rFonts w:hint="default" w:ascii="Calibri" w:hAnsi="Calibri" w:cs="Calibri"/>
          <w:spacing w:val="0"/>
          <w:sz w:val="24"/>
          <w:szCs w:val="24"/>
        </w:rPr>
        <w:t>3</w:t>
      </w:r>
      <w:r>
        <w:rPr>
          <w:rFonts w:hint="eastAsia" w:ascii="宋体" w:hAnsi="宋体" w:eastAsia="宋体" w:cs="宋体"/>
          <w:spacing w:val="0"/>
          <w:sz w:val="24"/>
          <w:szCs w:val="24"/>
        </w:rPr>
        <w:t>人组成，并负责具体审查事务，其中：由采购人派出的采购人代表至少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派出的工作人员至少</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人，其余</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人可为采购人代表或</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的工作人员。</w:t>
      </w:r>
    </w:p>
    <w:p w14:paraId="7ADD57C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1.2资格审查的依据是招标文件和投标文件。</w:t>
      </w:r>
    </w:p>
    <w:p w14:paraId="10BCAE0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1.3资格审查的范围及内容：投标文件（资格及资信证明部分），具体如下：</w:t>
      </w:r>
    </w:p>
    <w:p w14:paraId="0961D4A6">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（1）</w:t>
      </w:r>
      <w:r>
        <w:rPr>
          <w:rFonts w:hint="eastAsia" w:ascii="宋体" w:hAnsi="宋体" w:eastAsia="宋体" w:cs="宋体"/>
          <w:spacing w:val="0"/>
        </w:rPr>
        <w:t>“投标函”；</w:t>
      </w:r>
      <w:r>
        <w:rPr>
          <w:rFonts w:hint="eastAsia" w:ascii="宋体" w:hAnsi="宋体" w:eastAsia="宋体" w:cs="宋体"/>
          <w:spacing w:val="0"/>
        </w:rPr>
        <w:br w:type="textWrapping"/>
      </w:r>
      <w:r>
        <w:rPr>
          <w:rFonts w:hint="eastAsia" w:ascii="宋体" w:hAnsi="宋体" w:eastAsia="宋体" w:cs="宋体"/>
          <w:spacing w:val="0"/>
        </w:rPr>
        <w:t>  （2）“投标人的资格及资信证明文件”</w:t>
      </w:r>
      <w:r>
        <w:rPr>
          <w:rFonts w:hint="eastAsia" w:ascii="宋体" w:hAnsi="宋体" w:eastAsia="宋体" w:cs="宋体"/>
          <w:spacing w:val="0"/>
        </w:rPr>
        <w:br w:type="textWrapping"/>
      </w:r>
      <w:r>
        <w:rPr>
          <w:rFonts w:hint="eastAsia" w:ascii="宋体" w:hAnsi="宋体" w:eastAsia="宋体" w:cs="宋体"/>
          <w:spacing w:val="0"/>
        </w:rPr>
        <w:t>   </w:t>
      </w:r>
      <w:r>
        <w:rPr>
          <w:rFonts w:hint="eastAsia" w:ascii="宋体" w:hAnsi="宋体" w:eastAsia="宋体" w:cs="宋体"/>
        </w:rPr>
        <w:t>①</w:t>
      </w:r>
      <w:r>
        <w:rPr>
          <w:rFonts w:hint="eastAsia" w:ascii="宋体" w:hAnsi="宋体" w:eastAsia="宋体" w:cs="宋体"/>
          <w:spacing w:val="0"/>
        </w:rPr>
        <w:t>一般资格证明文件：</w:t>
      </w:r>
    </w:p>
    <w:tbl>
      <w:tblPr>
        <w:tblStyle w:val="6"/>
        <w:tblW w:w="8322"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7DA628D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00A8962">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47FF4FF">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1A47B5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EB25A34">
            <w:pPr>
              <w:keepNext w:val="0"/>
              <w:keepLines w:val="0"/>
              <w:widowControl/>
              <w:suppressLineNumbers w:val="0"/>
              <w:jc w:val="left"/>
            </w:pPr>
            <w:r>
              <w:rPr>
                <w:rFonts w:ascii="宋体" w:hAnsi="宋体" w:eastAsia="宋体" w:cs="宋体"/>
                <w:kern w:val="0"/>
                <w:sz w:val="24"/>
                <w:szCs w:val="24"/>
                <w:lang w:val="en-US" w:eastAsia="zh-CN" w:bidi="ar"/>
              </w:rPr>
              <w:t>单位负责人授权书（若有）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A1D1303">
            <w:pPr>
              <w:keepNext w:val="0"/>
              <w:keepLines w:val="0"/>
              <w:widowControl/>
              <w:suppressLineNumbers w:val="0"/>
              <w:jc w:val="left"/>
            </w:pPr>
            <w:r>
              <w:rPr>
                <w:rFonts w:ascii="宋体" w:hAnsi="宋体" w:eastAsia="宋体" w:cs="宋体"/>
                <w:kern w:val="0"/>
                <w:sz w:val="24"/>
                <w:szCs w:val="24"/>
                <w:lang w:val="en-US" w:eastAsia="zh-CN" w:bidi="ar"/>
              </w:rPr>
              <w:t>1、企业（银行、保险、石油石化、电力、电信等行业除外）、事业单位和社会团体法人的“单位负责人”指法定代表人，即与实际提交的“营业执照等证明文件”载明的一致。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3、投标人（自然人除外）：若投标人代表为单位负责人授权的委托代理人，应提供本授权书；若投标人代表为单位负责人，应在此项下提交其身份证正反面复印件，可不提供本授权书。4、投标人为自然人的，可不填写本授权书。5、纸质投标文件正本中的本授权书（若有）应为原件。※投标人应按照招标文件第七章规定提供。</w:t>
            </w:r>
          </w:p>
        </w:tc>
      </w:tr>
      <w:tr w14:paraId="0361330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34872F2">
            <w:pPr>
              <w:keepNext w:val="0"/>
              <w:keepLines w:val="0"/>
              <w:widowControl/>
              <w:suppressLineNumbers w:val="0"/>
              <w:jc w:val="left"/>
            </w:pPr>
            <w:r>
              <w:rPr>
                <w:rFonts w:ascii="宋体" w:hAnsi="宋体" w:eastAsia="宋体" w:cs="宋体"/>
                <w:kern w:val="0"/>
                <w:sz w:val="24"/>
                <w:szCs w:val="24"/>
                <w:lang w:val="en-US" w:eastAsia="zh-CN" w:bidi="ar"/>
              </w:rPr>
              <w:t>营业执照等证明文件</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01B2E965">
            <w:pPr>
              <w:keepNext w:val="0"/>
              <w:keepLines w:val="0"/>
              <w:widowControl/>
              <w:suppressLineNumbers w:val="0"/>
              <w:jc w:val="left"/>
            </w:pPr>
            <w:r>
              <w:rPr>
                <w:rFonts w:ascii="宋体" w:hAnsi="宋体" w:eastAsia="宋体" w:cs="宋体"/>
                <w:kern w:val="0"/>
                <w:sz w:val="24"/>
                <w:szCs w:val="24"/>
                <w:lang w:val="en-US" w:eastAsia="zh-CN" w:bidi="ar"/>
              </w:rPr>
              <w:t>1、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2、投标人提供的相应证明材料复印件均应符合：内容完整、清晰、整洁，并由投标人加盖其单位公章。※投标人应按照招标文件第七章规定提供。</w:t>
            </w:r>
          </w:p>
        </w:tc>
      </w:tr>
      <w:tr w14:paraId="1A40146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ADE154F">
            <w:pPr>
              <w:keepNext w:val="0"/>
              <w:keepLines w:val="0"/>
              <w:widowControl/>
              <w:suppressLineNumbers w:val="0"/>
              <w:jc w:val="left"/>
            </w:pPr>
            <w:r>
              <w:rPr>
                <w:rFonts w:ascii="宋体" w:hAnsi="宋体" w:eastAsia="宋体" w:cs="宋体"/>
                <w:kern w:val="0"/>
                <w:sz w:val="24"/>
                <w:szCs w:val="24"/>
                <w:lang w:val="en-US" w:eastAsia="zh-CN" w:bidi="ar"/>
              </w:rPr>
              <w:t>财务状况报告（财务报告、或资信证明、或投标担保函）</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A2DD7BC">
            <w:pPr>
              <w:keepNext w:val="0"/>
              <w:keepLines w:val="0"/>
              <w:widowControl/>
              <w:suppressLineNumbers w:val="0"/>
              <w:jc w:val="left"/>
            </w:pPr>
            <w:r>
              <w:rPr>
                <w:rFonts w:ascii="宋体" w:hAnsi="宋体" w:eastAsia="宋体" w:cs="宋体"/>
                <w:kern w:val="0"/>
                <w:sz w:val="24"/>
                <w:szCs w:val="24"/>
                <w:lang w:val="en-US" w:eastAsia="zh-CN" w:bidi="ar"/>
              </w:rPr>
              <w:t>1、投标人提供的财务报告复印件（成立年限按照投标截止时间推算）应符合下列规定：1.1成立年限满1年及以上的投标人，提供经审计的上一年度的年度财务报告。1.2成立年限满半年但不足1年的投标人，提供该半年度中任一季度的季度财务报告或该半年度的半年度财务报告。※无法按照第1.1、1.2条规定提供财务报告复印件的投标人（包括但不限于：成立年限满1年及以上的投标人、成立年限满半年但不足1年的投标人、成立年限不足半年的投标人），应选择提供资信证明复印件或投标担保函复印件，其中：非自然人的投标人选择提供资信证明的，还应附上其开户（基本存款账户）许可证复印件。 2、“财政部门认可的政府采购专业担保机构”应符合《财政部关于开展政府采购信用担保试点工作方案》（财库[2012]124号）的规定。3、投标人提供的相应证明材料复印件均应符合：内容完整、清晰、整洁，并由投标人加盖其单位公章。※投标人应按照招标文件第七章规定提供。</w:t>
            </w:r>
          </w:p>
        </w:tc>
      </w:tr>
      <w:tr w14:paraId="58026A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B20A9CA">
            <w:pPr>
              <w:keepNext w:val="0"/>
              <w:keepLines w:val="0"/>
              <w:widowControl/>
              <w:suppressLineNumbers w:val="0"/>
              <w:jc w:val="left"/>
            </w:pPr>
            <w:r>
              <w:rPr>
                <w:rFonts w:ascii="宋体" w:hAnsi="宋体" w:eastAsia="宋体" w:cs="宋体"/>
                <w:kern w:val="0"/>
                <w:sz w:val="24"/>
                <w:szCs w:val="24"/>
                <w:lang w:val="en-US" w:eastAsia="zh-CN" w:bidi="ar"/>
              </w:rPr>
              <w:t>依法缴纳税收证明材料</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5CCCEF75">
            <w:pPr>
              <w:keepNext w:val="0"/>
              <w:keepLines w:val="0"/>
              <w:widowControl/>
              <w:suppressLineNumbers w:val="0"/>
              <w:jc w:val="left"/>
            </w:pPr>
            <w:r>
              <w:rPr>
                <w:rFonts w:ascii="宋体" w:hAnsi="宋体" w:eastAsia="宋体" w:cs="宋体"/>
                <w:kern w:val="0"/>
                <w:sz w:val="24"/>
                <w:szCs w:val="24"/>
                <w:lang w:val="en-US" w:eastAsia="zh-CN" w:bidi="ar"/>
              </w:rPr>
              <w:t>1、投标人提供的税收凭据复印件应符合下列规定：1.1投标截止时间前（不含投标截止时间的当月）已依法缴纳税收的投标人，提供投标截止时间前六个月（不含投标截止时间的当月）中任一月份的税收凭据复印件。1.2投标截止时间的当月成立且已依法缴纳税收的投标人，提供投标截止时间当月的税收凭据复印件。1.3投标截止时间的当月成立但因税务机关原因导致其尚未依法缴纳税收的投标人，提供依法缴纳税收承诺书原件（格式自拟），该承诺书视同税收凭据。2、“依法缴纳税收证明材料”有欠缴记录的，视为未依法缴纳税收。3、投标人提供的相应证明材料复印件均应符合：内容完整、清晰、整洁，并由投标人加盖其单位公章。※投标人应按照招标文件第七章规定提供。</w:t>
            </w:r>
          </w:p>
        </w:tc>
      </w:tr>
      <w:tr w14:paraId="09008F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41AB069">
            <w:pPr>
              <w:keepNext w:val="0"/>
              <w:keepLines w:val="0"/>
              <w:widowControl/>
              <w:suppressLineNumbers w:val="0"/>
              <w:jc w:val="left"/>
            </w:pPr>
            <w:r>
              <w:rPr>
                <w:rFonts w:ascii="宋体" w:hAnsi="宋体" w:eastAsia="宋体" w:cs="宋体"/>
                <w:kern w:val="0"/>
                <w:sz w:val="24"/>
                <w:szCs w:val="24"/>
                <w:lang w:val="en-US" w:eastAsia="zh-CN" w:bidi="ar"/>
              </w:rPr>
              <w:t>依法缴纳社会保障资金证明材料</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6C77DBA">
            <w:pPr>
              <w:keepNext w:val="0"/>
              <w:keepLines w:val="0"/>
              <w:widowControl/>
              <w:suppressLineNumbers w:val="0"/>
              <w:jc w:val="left"/>
            </w:pPr>
            <w:r>
              <w:rPr>
                <w:rFonts w:ascii="宋体" w:hAnsi="宋体" w:eastAsia="宋体" w:cs="宋体"/>
                <w:kern w:val="0"/>
                <w:sz w:val="24"/>
                <w:szCs w:val="24"/>
                <w:lang w:val="en-US" w:eastAsia="zh-CN" w:bidi="ar"/>
              </w:rPr>
              <w:t>1、投标人提供的社会保险凭据复印件应符合下列规定：1.1投标截止时间前（不含投标截止时间的当月）已依法缴纳社会保障资金的投标人，提供投标截止时间前六个月（不含投标截止时间的当月）中任一月份的社会保险凭据复印件。1.2投标截止时间的当月成立且已依法缴纳社会保障资金的投标人，提供投标截止时间当月的社会保险凭据复印件。1.3投标截止时间的当月成立但因税务机关/社会保障资金管理机关原因导致其尚未依法缴纳社会保障资金的投标人，提供依法缴纳社会保障资金承诺书原件（格式自拟），该承诺书视同社会保险凭据。2、“依法缴纳社会保障资金证明材料”有欠缴记录的，视为未依法缴纳社会保障资金。3、投标人提供的相应证明材料复印件均应符合：内容完整、清晰、整洁，并由投标人加盖其单位公章。※投标人应按照招标文件第七章规定提供。</w:t>
            </w:r>
          </w:p>
        </w:tc>
      </w:tr>
      <w:tr w14:paraId="52F5C73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0BC2BBE">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具备履行合同所必需设备和专业技术能力的声明函（若有）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921CBCD">
            <w:pPr>
              <w:keepNext w:val="0"/>
              <w:keepLines w:val="0"/>
              <w:widowControl/>
              <w:suppressLineNumbers w:val="0"/>
              <w:jc w:val="left"/>
            </w:pPr>
            <w:r>
              <w:rPr>
                <w:rFonts w:ascii="宋体" w:hAnsi="宋体" w:eastAsia="宋体" w:cs="宋体"/>
                <w:kern w:val="0"/>
                <w:sz w:val="24"/>
                <w:szCs w:val="24"/>
                <w:lang w:val="en-US" w:eastAsia="zh-CN" w:bidi="ar"/>
              </w:rPr>
              <w:t>1、招标文件未要求投标人提供“具备履行合同所必需的设备和专业技术能力专项证明材料”的，投标人应提供本声明函。2、招标文件要求投标人提供“具备履行合同所必需的设备和专业技术能力专项证明材料”的，投标人可不提供本声明函。3、纸质投标文件正本中的本声明函（若有）应为原件。※投标人应按照招标文件第七章规定提供。</w:t>
            </w:r>
          </w:p>
        </w:tc>
      </w:tr>
      <w:tr w14:paraId="0252C3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CF5E2FD">
            <w:pPr>
              <w:keepNext w:val="0"/>
              <w:keepLines w:val="0"/>
              <w:widowControl/>
              <w:suppressLineNumbers w:val="0"/>
              <w:jc w:val="left"/>
            </w:pPr>
            <w:r>
              <w:rPr>
                <w:rFonts w:ascii="宋体" w:hAnsi="宋体" w:eastAsia="宋体" w:cs="宋体"/>
                <w:kern w:val="0"/>
                <w:sz w:val="24"/>
                <w:szCs w:val="24"/>
                <w:lang w:val="en-US" w:eastAsia="zh-CN" w:bidi="ar"/>
              </w:rPr>
              <w:t>参加采购活动前三年内在经营活动中没有重大违法记录书面声明</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674913F">
            <w:pPr>
              <w:keepNext w:val="0"/>
              <w:keepLines w:val="0"/>
              <w:widowControl/>
              <w:suppressLineNumbers w:val="0"/>
              <w:jc w:val="left"/>
            </w:pPr>
            <w:r>
              <w:rPr>
                <w:rFonts w:ascii="宋体" w:hAnsi="宋体" w:eastAsia="宋体" w:cs="宋体"/>
                <w:kern w:val="0"/>
                <w:sz w:val="24"/>
                <w:szCs w:val="24"/>
                <w:lang w:val="en-US" w:eastAsia="zh-CN" w:bidi="ar"/>
              </w:rPr>
              <w:t>1、“重大违法记录”指投标人因违法经营受到刑事处罚或责令停产停业、吊销许可证或执照、较大数额罚款等行政处罚。2、无法提供有效期内检察机关行贿犯罪档案查询结果告知函的，也应对近三年无行贿犯罪记录进行声明。3、纸质投标文件正本中的本声明应为原件。※投标人应按照招标文件第七章规定提供。</w:t>
            </w:r>
          </w:p>
        </w:tc>
      </w:tr>
      <w:tr w14:paraId="6BC9A13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6DF941F">
            <w:pPr>
              <w:keepNext w:val="0"/>
              <w:keepLines w:val="0"/>
              <w:widowControl/>
              <w:suppressLineNumbers w:val="0"/>
              <w:jc w:val="left"/>
            </w:pPr>
            <w:r>
              <w:rPr>
                <w:rFonts w:ascii="宋体" w:hAnsi="宋体" w:eastAsia="宋体" w:cs="宋体"/>
                <w:kern w:val="0"/>
                <w:sz w:val="24"/>
                <w:szCs w:val="24"/>
                <w:lang w:val="en-US" w:eastAsia="zh-CN" w:bidi="ar"/>
              </w:rPr>
              <w:t>信用记录查询结果</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082E281">
            <w:pPr>
              <w:keepNext w:val="0"/>
              <w:keepLines w:val="0"/>
              <w:widowControl/>
              <w:suppressLineNumbers w:val="0"/>
              <w:jc w:val="left"/>
            </w:pPr>
            <w:r>
              <w:rPr>
                <w:rFonts w:ascii="宋体" w:hAnsi="宋体" w:eastAsia="宋体" w:cs="宋体"/>
                <w:kern w:val="0"/>
                <w:sz w:val="24"/>
                <w:szCs w:val="24"/>
                <w:lang w:val="en-US" w:eastAsia="zh-CN" w:bidi="ar"/>
              </w:rPr>
              <w:t>投标人应在招标文件要求的截止时点前分别通过“信用中国”网站（www.creditchina.gov.cn）、中国政府采购网（www.ccgp.gov.cn）查询并打印相应的信用记录，投标人提供的查询结果应为其通过上述网站获取的信用信息查询结果原始页面的打印件（或截图）。※投标人应按照招标文件第七章规定提供。</w:t>
            </w:r>
          </w:p>
        </w:tc>
      </w:tr>
      <w:tr w14:paraId="2819FC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89A2DC3">
            <w:pPr>
              <w:keepNext w:val="0"/>
              <w:keepLines w:val="0"/>
              <w:widowControl/>
              <w:suppressLineNumbers w:val="0"/>
              <w:jc w:val="left"/>
            </w:pPr>
            <w:r>
              <w:rPr>
                <w:rFonts w:ascii="宋体" w:hAnsi="宋体" w:eastAsia="宋体" w:cs="宋体"/>
                <w:kern w:val="0"/>
                <w:sz w:val="24"/>
                <w:szCs w:val="24"/>
                <w:lang w:val="en-US" w:eastAsia="zh-CN" w:bidi="ar"/>
              </w:rPr>
              <w:t>中小企业声明函（专门面向中小企业或小型、微型企业适用，若有）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B2C7F42">
            <w:pPr>
              <w:keepNext w:val="0"/>
              <w:keepLines w:val="0"/>
              <w:widowControl/>
              <w:suppressLineNumbers w:val="0"/>
              <w:jc w:val="left"/>
            </w:pPr>
            <w:r>
              <w:rPr>
                <w:rFonts w:ascii="宋体" w:hAnsi="宋体" w:eastAsia="宋体" w:cs="宋体"/>
                <w:kern w:val="0"/>
                <w:sz w:val="24"/>
                <w:szCs w:val="24"/>
                <w:lang w:val="en-US" w:eastAsia="zh-CN" w:bidi="ar"/>
              </w:rPr>
              <w:t>1、投标人应认真对照《工业和信息化部、国家统计局、国家发展和改革委员会、财政部关于印发中小企业划型标准规定的通知》（工信部联企业[2011]300号）规定的划分标准，并按照《国家统计局关于印发统计上大中小微型企业划分办法的通知》（国统字[2011]75号）规定准确划分企业类型。2、投标人为监狱企业的，可不填写本声明函，根据其提供的由省级以上监狱管理局、戒毒管理局（含新疆生产建设兵团）出具的属于监狱企业的证明文件进行认定，监狱企业视同小型、微型企业。3、投标人为残疾人福利性单位的，可不填写本声明函，根据其提供的《残疾人福利性单位声明函》进行认定，残疾人福利性单位视同小型、微型企业。4、纸质投标文件正本中的本声明函（若有）应为原件。※投标人应按照招标文件第七章规定提供。</w:t>
            </w:r>
          </w:p>
        </w:tc>
      </w:tr>
      <w:tr w14:paraId="500FD1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839F482">
            <w:pPr>
              <w:keepNext w:val="0"/>
              <w:keepLines w:val="0"/>
              <w:widowControl/>
              <w:suppressLineNumbers w:val="0"/>
              <w:jc w:val="left"/>
            </w:pPr>
            <w:r>
              <w:rPr>
                <w:rFonts w:ascii="宋体" w:hAnsi="宋体" w:eastAsia="宋体" w:cs="宋体"/>
                <w:kern w:val="0"/>
                <w:sz w:val="24"/>
                <w:szCs w:val="24"/>
                <w:lang w:val="en-US" w:eastAsia="zh-CN" w:bidi="ar"/>
              </w:rPr>
              <w:t>联合体协议（若有）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A745EF7">
            <w:pPr>
              <w:keepNext w:val="0"/>
              <w:keepLines w:val="0"/>
              <w:widowControl/>
              <w:suppressLineNumbers w:val="0"/>
              <w:jc w:val="left"/>
            </w:pPr>
            <w:r>
              <w:rPr>
                <w:rFonts w:ascii="宋体" w:hAnsi="宋体" w:eastAsia="宋体" w:cs="宋体"/>
                <w:kern w:val="0"/>
                <w:sz w:val="24"/>
                <w:szCs w:val="24"/>
                <w:lang w:val="en-US" w:eastAsia="zh-CN" w:bidi="ar"/>
              </w:rPr>
              <w:t>1、招标文件接受联合体投标且投标人为联合体的，投标人应提供本协议；否则无须提供。2、本协议由委托代理人签字或盖章的，应按照招标文件第七章载明的格式提供“单位负责人授权书”。3、纸质投标文件正本中的本协议（若有）应为原件。※投标人应按照招标文件第七章规定提供。</w:t>
            </w:r>
          </w:p>
        </w:tc>
      </w:tr>
      <w:tr w14:paraId="07CE28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0DF300A9">
            <w:pPr>
              <w:keepNext w:val="0"/>
              <w:keepLines w:val="0"/>
              <w:widowControl/>
              <w:suppressLineNumbers w:val="0"/>
              <w:jc w:val="left"/>
            </w:pPr>
            <w:r>
              <w:rPr>
                <w:rFonts w:ascii="宋体" w:hAnsi="宋体" w:eastAsia="宋体" w:cs="宋体"/>
                <w:kern w:val="0"/>
                <w:sz w:val="24"/>
                <w:szCs w:val="24"/>
                <w:lang w:val="en-US" w:eastAsia="zh-CN" w:bidi="ar"/>
              </w:rPr>
              <w:t>检察机关行贿犯罪档案查询结果告知函（若有）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0CF520EF">
            <w:pPr>
              <w:keepNext w:val="0"/>
              <w:keepLines w:val="0"/>
              <w:widowControl/>
              <w:suppressLineNumbers w:val="0"/>
              <w:jc w:val="left"/>
            </w:pPr>
            <w:r>
              <w:rPr>
                <w:rFonts w:ascii="宋体" w:hAnsi="宋体" w:eastAsia="宋体" w:cs="宋体"/>
                <w:kern w:val="0"/>
                <w:sz w:val="24"/>
                <w:szCs w:val="24"/>
                <w:lang w:val="en-US" w:eastAsia="zh-CN" w:bidi="ar"/>
              </w:rPr>
              <w:t>1、未提供行贿犯罪档案查询结果或查询结果表明投标人有行贿犯罪记录的，投标无效。2、无法提供有效期内检察机关行贿犯罪档案查询结果告知函的，也应对近三年无行贿犯罪记录进行声明。3、告知函应在有效期内且内容完整、清晰、整洁，否则投标无效。4、有效期内的告知函复印件（含扫描件）及符合招标文件第七章规定的打印件（或截图），无论内容中是否注明“复印件无效”，均视同有效。5、无法获取有效期内检察机关行贿犯罪档案查询结果告知函的，应在a7《参加采购活动前三年内在经营活动中没有重大违法记录书面声明》中对近三年无行贿犯罪记录进行声明。※投标人应按照招标文件第七章规定提供。</w:t>
            </w:r>
          </w:p>
        </w:tc>
      </w:tr>
    </w:tbl>
    <w:p w14:paraId="33A47A6A">
      <w:pPr>
        <w:keepNext w:val="0"/>
        <w:keepLines w:val="0"/>
        <w:widowControl/>
        <w:suppressLineNumbers w:val="0"/>
        <w:jc w:val="left"/>
        <w:rPr>
          <w:rFonts w:hint="eastAsia" w:ascii="宋体" w:hAnsi="宋体" w:eastAsia="宋体" w:cs="宋体"/>
          <w:spacing w:val="0"/>
          <w:kern w:val="0"/>
          <w:sz w:val="24"/>
          <w:szCs w:val="24"/>
          <w:lang w:val="en-US" w:eastAsia="zh-CN" w:bidi="ar"/>
        </w:rPr>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w:t>
      </w:r>
    </w:p>
    <w:p w14:paraId="153CC420">
      <w:pPr>
        <w:keepNext w:val="0"/>
        <w:keepLines w:val="0"/>
        <w:widowControl/>
        <w:suppressLineNumbers w:val="0"/>
        <w:jc w:val="left"/>
        <w:rPr>
          <w:rFonts w:hint="eastAsia" w:ascii="宋体" w:hAnsi="宋体" w:eastAsia="宋体" w:cs="宋体"/>
          <w:spacing w:val="0"/>
          <w:kern w:val="0"/>
          <w:sz w:val="24"/>
          <w:szCs w:val="24"/>
          <w:lang w:val="en-US" w:eastAsia="zh-CN" w:bidi="ar"/>
        </w:rPr>
      </w:pPr>
    </w:p>
    <w:p w14:paraId="11A01FAE">
      <w:pPr>
        <w:keepNext w:val="0"/>
        <w:keepLines w:val="0"/>
        <w:widowControl/>
        <w:suppressLineNumbers w:val="0"/>
        <w:jc w:val="left"/>
      </w:pPr>
      <w:r>
        <w:rPr>
          <w:rFonts w:hint="eastAsia" w:ascii="宋体" w:hAnsi="宋体" w:eastAsia="宋体" w:cs="宋体"/>
          <w:spacing w:val="0"/>
          <w:kern w:val="0"/>
          <w:sz w:val="24"/>
          <w:szCs w:val="24"/>
          <w:lang w:val="en-US" w:eastAsia="zh-CN" w:bidi="ar"/>
        </w:rPr>
        <w:t>②.其他资格证明文件：</w:t>
      </w:r>
    </w:p>
    <w:p w14:paraId="1DB72ACA">
      <w:pPr>
        <w:pStyle w:val="5"/>
        <w:keepNext w:val="0"/>
        <w:keepLines w:val="0"/>
        <w:widowControl/>
        <w:suppressLineNumbers w:val="0"/>
        <w:spacing w:before="75" w:beforeAutospacing="0" w:after="75" w:afterAutospacing="0"/>
        <w:ind w:left="0" w:right="0" w:firstLine="480"/>
      </w:pPr>
      <w:r>
        <w:rPr>
          <w:rStyle w:val="8"/>
          <w:b/>
          <w:spacing w:val="0"/>
          <w:sz w:val="24"/>
          <w:szCs w:val="24"/>
        </w:rPr>
        <w:t>包：1</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4801E8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1D47E97">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5497D340">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138CD5B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20AABEB">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0C4B59D3">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21D9000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92805E2">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09F333DC">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406D1685">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6967BE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03DC0A90">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FFE0E7D">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56515D9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5E6F91F">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A36F466">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1FD2C8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533A401C">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55DA28F">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7F7AB79A">
      <w:pPr>
        <w:keepNext w:val="0"/>
        <w:keepLines w:val="0"/>
        <w:widowControl/>
        <w:suppressLineNumbers w:val="0"/>
        <w:jc w:val="left"/>
        <w:rPr>
          <w:rStyle w:val="8"/>
          <w:rFonts w:ascii="宋体" w:hAnsi="宋体" w:eastAsia="宋体" w:cs="宋体"/>
          <w:b/>
          <w:kern w:val="0"/>
          <w:sz w:val="24"/>
          <w:szCs w:val="24"/>
          <w:lang w:val="en-US" w:eastAsia="zh-CN" w:bidi="ar"/>
        </w:rPr>
      </w:pPr>
    </w:p>
    <w:p w14:paraId="41AB0B33">
      <w:pPr>
        <w:keepNext w:val="0"/>
        <w:keepLines w:val="0"/>
        <w:widowControl/>
        <w:suppressLineNumbers w:val="0"/>
        <w:jc w:val="left"/>
        <w:rPr>
          <w:rStyle w:val="8"/>
          <w:rFonts w:ascii="宋体" w:hAnsi="宋体" w:eastAsia="宋体" w:cs="宋体"/>
          <w:b/>
          <w:kern w:val="0"/>
          <w:sz w:val="24"/>
          <w:szCs w:val="24"/>
          <w:lang w:val="en-US" w:eastAsia="zh-CN" w:bidi="ar"/>
        </w:rPr>
      </w:pPr>
    </w:p>
    <w:p w14:paraId="3DB1BBEF">
      <w:pPr>
        <w:keepNext w:val="0"/>
        <w:keepLines w:val="0"/>
        <w:widowControl/>
        <w:suppressLineNumbers w:val="0"/>
        <w:jc w:val="left"/>
      </w:pPr>
      <w:r>
        <w:rPr>
          <w:rStyle w:val="8"/>
          <w:rFonts w:ascii="宋体" w:hAnsi="宋体" w:eastAsia="宋体" w:cs="宋体"/>
          <w:b/>
          <w:kern w:val="0"/>
          <w:sz w:val="24"/>
          <w:szCs w:val="24"/>
          <w:lang w:val="en-US" w:eastAsia="zh-CN" w:bidi="ar"/>
        </w:rPr>
        <w:t>包：3</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71AE82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B3E1B6E">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1D1B6DC">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051D16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E3D9B28">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3DEE12F">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167CDE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945460C">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9E0E816">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73026F49">
      <w:pPr>
        <w:keepNext w:val="0"/>
        <w:keepLines w:val="0"/>
        <w:widowControl/>
        <w:suppressLineNumbers w:val="0"/>
        <w:jc w:val="left"/>
      </w:pPr>
      <w:r>
        <w:rPr>
          <w:rStyle w:val="8"/>
          <w:rFonts w:ascii="宋体" w:hAnsi="宋体" w:eastAsia="宋体" w:cs="宋体"/>
          <w:b/>
          <w:kern w:val="0"/>
          <w:sz w:val="24"/>
          <w:szCs w:val="24"/>
          <w:lang w:val="en-US" w:eastAsia="zh-CN" w:bidi="ar"/>
        </w:rPr>
        <w:t>包：4</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06EB9BF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2F741137">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2235A422">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45481D1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998FEE4">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5A95550">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78D6A6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4CC2E1E">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4479543D">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560614B4">
      <w:pPr>
        <w:keepNext w:val="0"/>
        <w:keepLines w:val="0"/>
        <w:widowControl/>
        <w:suppressLineNumbers w:val="0"/>
        <w:jc w:val="left"/>
        <w:rPr>
          <w:rStyle w:val="8"/>
          <w:rFonts w:ascii="宋体" w:hAnsi="宋体" w:eastAsia="宋体" w:cs="宋体"/>
          <w:b/>
          <w:kern w:val="0"/>
          <w:sz w:val="24"/>
          <w:szCs w:val="24"/>
          <w:lang w:val="en-US" w:eastAsia="zh-CN" w:bidi="ar"/>
        </w:rPr>
      </w:pPr>
    </w:p>
    <w:p w14:paraId="49BDF379">
      <w:pPr>
        <w:keepNext w:val="0"/>
        <w:keepLines w:val="0"/>
        <w:widowControl/>
        <w:suppressLineNumbers w:val="0"/>
        <w:jc w:val="left"/>
        <w:rPr>
          <w:rStyle w:val="8"/>
          <w:rFonts w:ascii="宋体" w:hAnsi="宋体" w:eastAsia="宋体" w:cs="宋体"/>
          <w:b/>
          <w:kern w:val="0"/>
          <w:sz w:val="24"/>
          <w:szCs w:val="24"/>
          <w:lang w:val="en-US" w:eastAsia="zh-CN" w:bidi="ar"/>
        </w:rPr>
      </w:pPr>
    </w:p>
    <w:p w14:paraId="5F22C1C2">
      <w:pPr>
        <w:keepNext w:val="0"/>
        <w:keepLines w:val="0"/>
        <w:widowControl/>
        <w:suppressLineNumbers w:val="0"/>
        <w:jc w:val="left"/>
        <w:rPr>
          <w:rStyle w:val="8"/>
          <w:rFonts w:ascii="宋体" w:hAnsi="宋体" w:eastAsia="宋体" w:cs="宋体"/>
          <w:b/>
          <w:kern w:val="0"/>
          <w:sz w:val="24"/>
          <w:szCs w:val="24"/>
          <w:lang w:val="en-US" w:eastAsia="zh-CN" w:bidi="ar"/>
        </w:rPr>
      </w:pPr>
    </w:p>
    <w:p w14:paraId="09646F7F">
      <w:pPr>
        <w:keepNext w:val="0"/>
        <w:keepLines w:val="0"/>
        <w:widowControl/>
        <w:suppressLineNumbers w:val="0"/>
        <w:jc w:val="left"/>
        <w:rPr>
          <w:rStyle w:val="8"/>
          <w:rFonts w:ascii="宋体" w:hAnsi="宋体" w:eastAsia="宋体" w:cs="宋体"/>
          <w:b/>
          <w:kern w:val="0"/>
          <w:sz w:val="24"/>
          <w:szCs w:val="24"/>
          <w:lang w:val="en-US" w:eastAsia="zh-CN" w:bidi="ar"/>
        </w:rPr>
      </w:pPr>
    </w:p>
    <w:p w14:paraId="214EA04F">
      <w:pPr>
        <w:keepNext w:val="0"/>
        <w:keepLines w:val="0"/>
        <w:widowControl/>
        <w:suppressLineNumbers w:val="0"/>
        <w:jc w:val="left"/>
      </w:pPr>
      <w:r>
        <w:rPr>
          <w:rStyle w:val="8"/>
          <w:rFonts w:ascii="宋体" w:hAnsi="宋体" w:eastAsia="宋体" w:cs="宋体"/>
          <w:b/>
          <w:kern w:val="0"/>
          <w:sz w:val="24"/>
          <w:szCs w:val="24"/>
          <w:lang w:val="en-US" w:eastAsia="zh-CN" w:bidi="ar"/>
        </w:rPr>
        <w:t>包：5</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4A0513E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8D5E3B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1493860F">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4FD187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73D5578">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0679550">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4361A4D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192A7094">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128C1FE6">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23D18867">
      <w:pPr>
        <w:keepNext w:val="0"/>
        <w:keepLines w:val="0"/>
        <w:widowControl/>
        <w:suppressLineNumbers w:val="0"/>
        <w:jc w:val="left"/>
      </w:pPr>
      <w:r>
        <w:rPr>
          <w:rStyle w:val="8"/>
          <w:rFonts w:ascii="宋体" w:hAnsi="宋体" w:eastAsia="宋体" w:cs="宋体"/>
          <w:b/>
          <w:kern w:val="0"/>
          <w:sz w:val="24"/>
          <w:szCs w:val="24"/>
          <w:lang w:val="en-US" w:eastAsia="zh-CN" w:bidi="ar"/>
        </w:rPr>
        <w:t>包：6</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79819B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FE5706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C9A271B">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69A2AF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6A46F00B">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31883951">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1AC822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DEC64E7">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B93E526">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0A2F8433">
      <w:pPr>
        <w:keepNext w:val="0"/>
        <w:keepLines w:val="0"/>
        <w:widowControl/>
        <w:suppressLineNumbers w:val="0"/>
        <w:jc w:val="left"/>
        <w:rPr>
          <w:rStyle w:val="8"/>
          <w:rFonts w:ascii="宋体" w:hAnsi="宋体" w:eastAsia="宋体" w:cs="宋体"/>
          <w:b/>
          <w:kern w:val="0"/>
          <w:sz w:val="24"/>
          <w:szCs w:val="24"/>
          <w:lang w:val="en-US" w:eastAsia="zh-CN" w:bidi="ar"/>
        </w:rPr>
      </w:pPr>
    </w:p>
    <w:p w14:paraId="448595F6">
      <w:pPr>
        <w:keepNext w:val="0"/>
        <w:keepLines w:val="0"/>
        <w:widowControl/>
        <w:suppressLineNumbers w:val="0"/>
        <w:jc w:val="left"/>
        <w:rPr>
          <w:rStyle w:val="8"/>
          <w:rFonts w:ascii="宋体" w:hAnsi="宋体" w:eastAsia="宋体" w:cs="宋体"/>
          <w:b/>
          <w:kern w:val="0"/>
          <w:sz w:val="24"/>
          <w:szCs w:val="24"/>
          <w:lang w:val="en-US" w:eastAsia="zh-CN" w:bidi="ar"/>
        </w:rPr>
      </w:pPr>
    </w:p>
    <w:p w14:paraId="496A7D1D">
      <w:pPr>
        <w:keepNext w:val="0"/>
        <w:keepLines w:val="0"/>
        <w:widowControl/>
        <w:suppressLineNumbers w:val="0"/>
        <w:jc w:val="left"/>
        <w:rPr>
          <w:rStyle w:val="8"/>
          <w:rFonts w:ascii="宋体" w:hAnsi="宋体" w:eastAsia="宋体" w:cs="宋体"/>
          <w:b/>
          <w:kern w:val="0"/>
          <w:sz w:val="24"/>
          <w:szCs w:val="24"/>
          <w:lang w:val="en-US" w:eastAsia="zh-CN" w:bidi="ar"/>
        </w:rPr>
      </w:pPr>
    </w:p>
    <w:p w14:paraId="62D306FB">
      <w:pPr>
        <w:keepNext w:val="0"/>
        <w:keepLines w:val="0"/>
        <w:widowControl/>
        <w:suppressLineNumbers w:val="0"/>
        <w:jc w:val="left"/>
        <w:rPr>
          <w:rStyle w:val="8"/>
          <w:rFonts w:ascii="宋体" w:hAnsi="宋体" w:eastAsia="宋体" w:cs="宋体"/>
          <w:b/>
          <w:kern w:val="0"/>
          <w:sz w:val="24"/>
          <w:szCs w:val="24"/>
          <w:lang w:val="en-US" w:eastAsia="zh-CN" w:bidi="ar"/>
        </w:rPr>
      </w:pPr>
    </w:p>
    <w:p w14:paraId="0E54B13C">
      <w:pPr>
        <w:keepNext w:val="0"/>
        <w:keepLines w:val="0"/>
        <w:widowControl/>
        <w:suppressLineNumbers w:val="0"/>
        <w:jc w:val="left"/>
      </w:pPr>
      <w:r>
        <w:rPr>
          <w:rStyle w:val="8"/>
          <w:rFonts w:ascii="宋体" w:hAnsi="宋体" w:eastAsia="宋体" w:cs="宋体"/>
          <w:b/>
          <w:kern w:val="0"/>
          <w:sz w:val="24"/>
          <w:szCs w:val="24"/>
          <w:lang w:val="en-US" w:eastAsia="zh-CN" w:bidi="ar"/>
        </w:rPr>
        <w:t>包：7</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3745"/>
        <w:gridCol w:w="4577"/>
      </w:tblGrid>
      <w:tr w14:paraId="45004B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41469FE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5B7D36CA">
            <w:pPr>
              <w:keepNext w:val="0"/>
              <w:keepLines w:val="0"/>
              <w:widowControl/>
              <w:suppressLineNumbers w:val="0"/>
              <w:jc w:val="center"/>
              <w:rPr>
                <w:b/>
              </w:rPr>
            </w:pPr>
            <w:r>
              <w:rPr>
                <w:rFonts w:ascii="宋体" w:hAnsi="宋体" w:eastAsia="宋体" w:cs="宋体"/>
                <w:b/>
                <w:kern w:val="0"/>
                <w:sz w:val="24"/>
                <w:szCs w:val="24"/>
                <w:lang w:val="en-US" w:eastAsia="zh-CN" w:bidi="ar"/>
              </w:rPr>
              <w:t>描述</w:t>
            </w:r>
          </w:p>
        </w:tc>
      </w:tr>
      <w:tr w14:paraId="24252C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75881CC5">
            <w:pPr>
              <w:keepNext w:val="0"/>
              <w:keepLines w:val="0"/>
              <w:widowControl/>
              <w:suppressLineNumbers w:val="0"/>
              <w:jc w:val="left"/>
            </w:pPr>
            <w:r>
              <w:rPr>
                <w:rFonts w:ascii="宋体" w:hAnsi="宋体" w:eastAsia="宋体" w:cs="宋体"/>
                <w:kern w:val="0"/>
                <w:sz w:val="24"/>
                <w:szCs w:val="24"/>
                <w:lang w:val="en-US" w:eastAsia="zh-CN" w:bidi="ar"/>
              </w:rPr>
              <w:t>具备履行合同所必需设备和专业技术能力专项证明材料（若有）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7B915758">
            <w:pPr>
              <w:keepNext w:val="0"/>
              <w:keepLines w:val="0"/>
              <w:widowControl/>
              <w:suppressLineNumbers w:val="0"/>
              <w:jc w:val="left"/>
            </w:pPr>
            <w:r>
              <w:rPr>
                <w:rFonts w:ascii="宋体" w:hAnsi="宋体" w:eastAsia="宋体" w:cs="宋体"/>
                <w:kern w:val="0"/>
                <w:sz w:val="24"/>
                <w:szCs w:val="24"/>
                <w:lang w:val="en-US" w:eastAsia="zh-CN" w:bidi="ar"/>
              </w:rPr>
              <w:t>1、招标文件要求投标人提供“具备履行合同所必需的设备和专业技术能力专项证明材料”的，投标人应按照招标文件规定在此项下提供相应证明材料复印件。 2、投标人提供的相应证明材料复印件均应符合：内容完整、清晰、整洁，并由投标人加盖其单位公章。</w:t>
            </w:r>
          </w:p>
        </w:tc>
      </w:tr>
      <w:tr w14:paraId="6986D2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3745" w:type="dxa"/>
            <w:tcBorders>
              <w:top w:val="outset" w:color="auto" w:sz="6" w:space="0"/>
              <w:left w:val="outset" w:color="auto" w:sz="6" w:space="0"/>
              <w:bottom w:val="outset" w:color="auto" w:sz="6" w:space="0"/>
              <w:right w:val="outset" w:color="auto" w:sz="6" w:space="0"/>
            </w:tcBorders>
            <w:shd w:val="clear" w:color="auto" w:fill="auto"/>
            <w:vAlign w:val="center"/>
          </w:tcPr>
          <w:p w14:paraId="3C96F9D5">
            <w:pPr>
              <w:keepNext w:val="0"/>
              <w:keepLines w:val="0"/>
              <w:widowControl/>
              <w:suppressLineNumbers w:val="0"/>
              <w:jc w:val="left"/>
            </w:pPr>
            <w:r>
              <w:rPr>
                <w:rFonts w:ascii="宋体" w:hAnsi="宋体" w:eastAsia="宋体" w:cs="宋体"/>
                <w:kern w:val="0"/>
                <w:sz w:val="24"/>
                <w:szCs w:val="24"/>
                <w:lang w:val="en-US" w:eastAsia="zh-CN" w:bidi="ar"/>
              </w:rPr>
              <w:t>招标文件规定的其他资格证明文件（若有）</w:t>
            </w:r>
          </w:p>
        </w:tc>
        <w:tc>
          <w:tcPr>
            <w:tcW w:w="4577" w:type="dxa"/>
            <w:tcBorders>
              <w:top w:val="outset" w:color="auto" w:sz="6" w:space="0"/>
              <w:left w:val="outset" w:color="auto" w:sz="6" w:space="0"/>
              <w:bottom w:val="outset" w:color="auto" w:sz="6" w:space="0"/>
              <w:right w:val="outset" w:color="auto" w:sz="6" w:space="0"/>
            </w:tcBorders>
            <w:shd w:val="clear" w:color="auto" w:fill="auto"/>
            <w:vAlign w:val="center"/>
          </w:tcPr>
          <w:p w14:paraId="656A24D5">
            <w:pPr>
              <w:keepNext w:val="0"/>
              <w:keepLines w:val="0"/>
              <w:widowControl/>
              <w:suppressLineNumbers w:val="0"/>
              <w:jc w:val="left"/>
            </w:pPr>
            <w:r>
              <w:rPr>
                <w:rFonts w:ascii="宋体" w:hAnsi="宋体" w:eastAsia="宋体" w:cs="宋体"/>
                <w:kern w:val="0"/>
                <w:sz w:val="24"/>
                <w:szCs w:val="24"/>
                <w:lang w:val="en-US" w:eastAsia="zh-CN" w:bidi="ar"/>
              </w:rPr>
              <w:t>1、（强制类节能产品证明材料，若有，应在此处填写）； 2、（按照政府采购法实施条例第17条除第“（一）-（四）”款外的其他条款规定填写投标人应提交的材料，如：采购人提出特定条件的证明材料、为落实政府采购政策需满足要求的证明材料（强制类）等，若有，应在此处填写）。 ※1上述材料中若有与“具备履行合同所必需设备和专业技术能力专项证明材料”有关的规定及内容在本表b1项下填写，不在此处填写。 ※2投标人应按照招标文件第七章规定提供。</w:t>
            </w:r>
          </w:p>
        </w:tc>
      </w:tr>
    </w:tbl>
    <w:p w14:paraId="1BD8E52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hint="eastAsia" w:ascii="宋体" w:hAnsi="宋体" w:eastAsia="宋体" w:cs="宋体"/>
          <w:spacing w:val="0"/>
          <w:kern w:val="0"/>
          <w:sz w:val="24"/>
          <w:szCs w:val="24"/>
          <w:lang w:val="en-US" w:eastAsia="zh-CN" w:bidi="ar"/>
        </w:rPr>
        <w:t>  （3）投标保证金。</w:t>
      </w:r>
    </w:p>
    <w:p w14:paraId="4786692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1.4有下列情形之一的，</w:t>
      </w:r>
      <w:r>
        <w:rPr>
          <w:rStyle w:val="8"/>
          <w:rFonts w:hint="eastAsia" w:ascii="宋体" w:hAnsi="宋体" w:eastAsia="宋体" w:cs="宋体"/>
          <w:b/>
          <w:spacing w:val="0"/>
          <w:sz w:val="24"/>
          <w:szCs w:val="24"/>
        </w:rPr>
        <w:t>资格审查不合格：</w:t>
      </w:r>
      <w:r>
        <w:rPr>
          <w:rStyle w:val="8"/>
          <w:rFonts w:hint="eastAsia" w:ascii="宋体" w:hAnsi="宋体" w:eastAsia="宋体" w:cs="宋体"/>
          <w:b/>
          <w:spacing w:val="0"/>
          <w:sz w:val="24"/>
          <w:szCs w:val="24"/>
        </w:rPr>
        <w:br w:type="textWrapping"/>
      </w:r>
      <w:r>
        <w:rPr>
          <w:rFonts w:hint="eastAsia" w:ascii="宋体" w:hAnsi="宋体" w:eastAsia="宋体" w:cs="宋体"/>
        </w:rPr>
        <w:t>  （1）一般情形：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5345B7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4E8B989">
            <w:pPr>
              <w:keepNext w:val="0"/>
              <w:keepLines w:val="0"/>
              <w:widowControl/>
              <w:suppressLineNumbers w:val="0"/>
              <w:jc w:val="left"/>
              <w:rPr>
                <w:b/>
              </w:rPr>
            </w:pPr>
            <w:r>
              <w:rPr>
                <w:rFonts w:ascii="宋体" w:hAnsi="宋体" w:eastAsia="宋体" w:cs="宋体"/>
                <w:b/>
                <w:kern w:val="0"/>
                <w:sz w:val="24"/>
                <w:szCs w:val="24"/>
                <w:lang w:val="en-US" w:eastAsia="zh-CN" w:bidi="ar"/>
              </w:rPr>
              <w:t>明细</w:t>
            </w:r>
          </w:p>
        </w:tc>
      </w:tr>
      <w:tr w14:paraId="09731B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669B542">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未按照招标文件规定提交投标函</w:t>
            </w:r>
          </w:p>
        </w:tc>
      </w:tr>
      <w:tr w14:paraId="2FC2D0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9576769">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未按照招标文件规定提交投标人的资格及资信文件</w:t>
            </w:r>
          </w:p>
        </w:tc>
      </w:tr>
      <w:tr w14:paraId="2A8A596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D4C985B">
            <w:pPr>
              <w:keepNext w:val="0"/>
              <w:keepLines w:val="0"/>
              <w:widowControl/>
              <w:suppressLineNumbers w:val="0"/>
              <w:jc w:val="left"/>
            </w:pPr>
            <w:r>
              <w:rPr>
                <w:rFonts w:ascii="宋体" w:hAnsi="宋体" w:eastAsia="宋体" w:cs="宋体"/>
                <w:kern w:val="0"/>
                <w:sz w:val="24"/>
                <w:szCs w:val="24"/>
                <w:lang w:val="en-US" w:eastAsia="zh-CN" w:bidi="ar"/>
              </w:rPr>
              <w:t>未按照招标文件规定提交投标保证金</w:t>
            </w:r>
          </w:p>
        </w:tc>
      </w:tr>
    </w:tbl>
    <w:p w14:paraId="25237601">
      <w:pPr>
        <w:keepNext w:val="0"/>
        <w:keepLines w:val="0"/>
        <w:widowControl/>
        <w:suppressLineNumbers w:val="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br w:type="textWrapping"/>
      </w:r>
      <w:r>
        <w:rPr>
          <w:rFonts w:hint="eastAsia" w:ascii="宋体" w:hAnsi="宋体" w:eastAsia="宋体" w:cs="宋体"/>
          <w:kern w:val="0"/>
          <w:sz w:val="24"/>
          <w:szCs w:val="24"/>
          <w:lang w:val="en-US" w:eastAsia="zh-CN" w:bidi="ar"/>
        </w:rPr>
        <w:t xml:space="preserve">  </w:t>
      </w:r>
    </w:p>
    <w:p w14:paraId="50DA99D6">
      <w:pPr>
        <w:keepNext w:val="0"/>
        <w:keepLines w:val="0"/>
        <w:widowControl/>
        <w:suppressLineNumbers w:val="0"/>
        <w:jc w:val="left"/>
        <w:rPr>
          <w:rFonts w:hint="eastAsia" w:ascii="宋体" w:hAnsi="宋体" w:eastAsia="宋体" w:cs="宋体"/>
          <w:kern w:val="0"/>
          <w:sz w:val="24"/>
          <w:szCs w:val="24"/>
          <w:lang w:val="en-US" w:eastAsia="zh-CN" w:bidi="ar"/>
        </w:rPr>
      </w:pPr>
    </w:p>
    <w:p w14:paraId="2B788B0E">
      <w:pPr>
        <w:keepNext w:val="0"/>
        <w:keepLines w:val="0"/>
        <w:widowControl/>
        <w:suppressLineNumbers w:val="0"/>
        <w:jc w:val="left"/>
        <w:rPr>
          <w:rFonts w:hint="eastAsia" w:ascii="宋体" w:hAnsi="宋体" w:eastAsia="宋体" w:cs="宋体"/>
          <w:kern w:val="0"/>
          <w:sz w:val="24"/>
          <w:szCs w:val="24"/>
          <w:lang w:val="en-US" w:eastAsia="zh-CN" w:bidi="ar"/>
        </w:rPr>
      </w:pPr>
    </w:p>
    <w:p w14:paraId="6329C84F">
      <w:pPr>
        <w:keepNext w:val="0"/>
        <w:keepLines w:val="0"/>
        <w:widowControl/>
        <w:suppressLineNumbers w:val="0"/>
        <w:jc w:val="left"/>
        <w:rPr>
          <w:rFonts w:hint="eastAsia" w:ascii="宋体" w:hAnsi="宋体" w:eastAsia="宋体" w:cs="宋体"/>
          <w:kern w:val="0"/>
          <w:sz w:val="24"/>
          <w:szCs w:val="24"/>
          <w:lang w:val="en-US" w:eastAsia="zh-CN" w:bidi="ar"/>
        </w:rPr>
      </w:pPr>
    </w:p>
    <w:p w14:paraId="602CE330">
      <w:pPr>
        <w:keepNext w:val="0"/>
        <w:keepLines w:val="0"/>
        <w:widowControl/>
        <w:suppressLineNumbers w:val="0"/>
        <w:jc w:val="left"/>
        <w:rPr>
          <w:rFonts w:hint="eastAsia" w:ascii="宋体" w:hAnsi="宋体" w:eastAsia="宋体" w:cs="宋体"/>
          <w:kern w:val="0"/>
          <w:sz w:val="24"/>
          <w:szCs w:val="24"/>
          <w:lang w:val="en-US" w:eastAsia="zh-CN" w:bidi="ar"/>
        </w:rPr>
      </w:pPr>
    </w:p>
    <w:p w14:paraId="6D8CF279">
      <w:pPr>
        <w:keepNext w:val="0"/>
        <w:keepLines w:val="0"/>
        <w:widowControl/>
        <w:suppressLineNumbers w:val="0"/>
        <w:jc w:val="left"/>
        <w:rPr>
          <w:rFonts w:hint="eastAsia" w:ascii="宋体" w:hAnsi="宋体" w:eastAsia="宋体" w:cs="宋体"/>
          <w:kern w:val="0"/>
          <w:sz w:val="24"/>
          <w:szCs w:val="24"/>
          <w:lang w:val="en-US" w:eastAsia="zh-CN" w:bidi="ar"/>
        </w:rPr>
      </w:pPr>
    </w:p>
    <w:p w14:paraId="44FD94C9">
      <w:pPr>
        <w:keepNext w:val="0"/>
        <w:keepLines w:val="0"/>
        <w:widowControl/>
        <w:suppressLineNumbers w:val="0"/>
        <w:jc w:val="left"/>
        <w:rPr>
          <w:rFonts w:hint="eastAsia" w:ascii="宋体" w:hAnsi="宋体" w:eastAsia="宋体" w:cs="宋体"/>
          <w:kern w:val="0"/>
          <w:sz w:val="24"/>
          <w:szCs w:val="24"/>
          <w:lang w:val="en-US" w:eastAsia="zh-CN" w:bidi="ar"/>
        </w:rPr>
      </w:pPr>
    </w:p>
    <w:p w14:paraId="4E9774A1">
      <w:pPr>
        <w:keepNext w:val="0"/>
        <w:keepLines w:val="0"/>
        <w:widowControl/>
        <w:suppressLineNumbers w:val="0"/>
        <w:jc w:val="left"/>
        <w:rPr>
          <w:rFonts w:hint="eastAsia" w:ascii="宋体" w:hAnsi="宋体" w:eastAsia="宋体" w:cs="宋体"/>
          <w:kern w:val="0"/>
          <w:sz w:val="24"/>
          <w:szCs w:val="24"/>
          <w:lang w:val="en-US" w:eastAsia="zh-CN" w:bidi="ar"/>
        </w:rPr>
      </w:pPr>
    </w:p>
    <w:p w14:paraId="210DE6E9">
      <w:pPr>
        <w:keepNext w:val="0"/>
        <w:keepLines w:val="0"/>
        <w:widowControl/>
        <w:suppressLineNumbers w:val="0"/>
        <w:jc w:val="left"/>
        <w:rPr>
          <w:rFonts w:hint="eastAsia" w:ascii="宋体" w:hAnsi="宋体" w:eastAsia="宋体" w:cs="宋体"/>
          <w:kern w:val="0"/>
          <w:sz w:val="24"/>
          <w:szCs w:val="24"/>
          <w:lang w:val="en-US" w:eastAsia="zh-CN" w:bidi="ar"/>
        </w:rPr>
      </w:pPr>
    </w:p>
    <w:p w14:paraId="210D24A4">
      <w:pPr>
        <w:keepNext w:val="0"/>
        <w:keepLines w:val="0"/>
        <w:widowControl/>
        <w:suppressLineNumbers w:val="0"/>
        <w:jc w:val="left"/>
        <w:rPr>
          <w:rFonts w:hint="eastAsia" w:ascii="宋体" w:hAnsi="宋体" w:eastAsia="宋体" w:cs="宋体"/>
          <w:kern w:val="0"/>
          <w:sz w:val="24"/>
          <w:szCs w:val="24"/>
          <w:lang w:val="en-US" w:eastAsia="zh-CN" w:bidi="ar"/>
        </w:rPr>
      </w:pPr>
    </w:p>
    <w:p w14:paraId="4B906165">
      <w:pPr>
        <w:keepNext w:val="0"/>
        <w:keepLines w:val="0"/>
        <w:widowControl/>
        <w:suppressLineNumbers w:val="0"/>
        <w:jc w:val="left"/>
        <w:rPr>
          <w:rFonts w:hint="eastAsia" w:ascii="宋体" w:hAnsi="宋体" w:eastAsia="宋体" w:cs="宋体"/>
          <w:kern w:val="0"/>
          <w:sz w:val="24"/>
          <w:szCs w:val="24"/>
          <w:lang w:val="en-US" w:eastAsia="zh-CN" w:bidi="ar"/>
        </w:rPr>
      </w:pPr>
    </w:p>
    <w:p w14:paraId="1DBD2D8C">
      <w:pPr>
        <w:keepNext w:val="0"/>
        <w:keepLines w:val="0"/>
        <w:widowControl/>
        <w:suppressLineNumbers w:val="0"/>
        <w:jc w:val="left"/>
        <w:rPr>
          <w:rFonts w:hint="eastAsia" w:ascii="宋体" w:hAnsi="宋体" w:eastAsia="宋体" w:cs="宋体"/>
          <w:kern w:val="0"/>
          <w:sz w:val="24"/>
          <w:szCs w:val="24"/>
          <w:lang w:val="en-US" w:eastAsia="zh-CN" w:bidi="ar"/>
        </w:rPr>
      </w:pPr>
    </w:p>
    <w:p w14:paraId="12AC36AA">
      <w:pPr>
        <w:keepNext w:val="0"/>
        <w:keepLines w:val="0"/>
        <w:widowControl/>
        <w:suppressLineNumbers w:val="0"/>
        <w:jc w:val="left"/>
        <w:rPr>
          <w:rFonts w:hint="eastAsia" w:ascii="宋体" w:hAnsi="宋体" w:eastAsia="宋体" w:cs="宋体"/>
          <w:kern w:val="0"/>
          <w:sz w:val="24"/>
          <w:szCs w:val="24"/>
          <w:lang w:val="en-US" w:eastAsia="zh-CN" w:bidi="ar"/>
        </w:rPr>
      </w:pPr>
    </w:p>
    <w:p w14:paraId="4BAF0EDC">
      <w:pPr>
        <w:keepNext w:val="0"/>
        <w:keepLines w:val="0"/>
        <w:widowControl/>
        <w:suppressLineNumbers w:val="0"/>
        <w:jc w:val="left"/>
        <w:rPr>
          <w:rFonts w:hint="eastAsia" w:ascii="宋体" w:hAnsi="宋体" w:eastAsia="宋体" w:cs="宋体"/>
          <w:kern w:val="0"/>
          <w:sz w:val="24"/>
          <w:szCs w:val="24"/>
          <w:lang w:val="en-US" w:eastAsia="zh-CN" w:bidi="ar"/>
        </w:rPr>
      </w:pPr>
    </w:p>
    <w:p w14:paraId="3C168276">
      <w:pPr>
        <w:keepNext w:val="0"/>
        <w:keepLines w:val="0"/>
        <w:widowControl/>
        <w:suppressLineNumbers w:val="0"/>
        <w:ind w:firstLine="480" w:firstLineChars="200"/>
        <w:jc w:val="left"/>
      </w:pPr>
      <w:r>
        <w:rPr>
          <w:rFonts w:hint="eastAsia" w:ascii="宋体" w:hAnsi="宋体" w:eastAsia="宋体" w:cs="宋体"/>
          <w:kern w:val="0"/>
          <w:sz w:val="24"/>
          <w:szCs w:val="24"/>
          <w:lang w:val="en-US" w:eastAsia="zh-CN" w:bidi="ar"/>
        </w:rPr>
        <w:t>（2）本项目规定的其他情形：</w:t>
      </w:r>
    </w:p>
    <w:p w14:paraId="6283406D">
      <w:pPr>
        <w:pStyle w:val="5"/>
        <w:keepNext w:val="0"/>
        <w:keepLines w:val="0"/>
        <w:widowControl/>
        <w:suppressLineNumbers w:val="0"/>
        <w:spacing w:before="0" w:beforeAutospacing="0" w:after="150" w:afterAutospacing="0"/>
        <w:ind w:right="0"/>
      </w:pPr>
      <w:r>
        <w:rPr>
          <w:rStyle w:val="8"/>
          <w:b/>
        </w:rPr>
        <w:t>包：1</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4D4827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5BE3CE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2A1B9E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4CA7179">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F77ECA5">
      <w:pPr>
        <w:keepNext w:val="0"/>
        <w:keepLines w:val="0"/>
        <w:widowControl/>
        <w:suppressLineNumbers w:val="0"/>
        <w:jc w:val="left"/>
      </w:pPr>
      <w:r>
        <w:rPr>
          <w:rStyle w:val="8"/>
          <w:rFonts w:ascii="宋体" w:hAnsi="宋体" w:eastAsia="宋体" w:cs="宋体"/>
          <w:b/>
          <w:kern w:val="0"/>
          <w:sz w:val="24"/>
          <w:szCs w:val="24"/>
          <w:lang w:val="en-US" w:eastAsia="zh-CN" w:bidi="ar"/>
        </w:rPr>
        <w:t>包：2</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2D717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E1DF83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A75E0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9532677">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7770D283">
      <w:pPr>
        <w:keepNext w:val="0"/>
        <w:keepLines w:val="0"/>
        <w:widowControl/>
        <w:suppressLineNumbers w:val="0"/>
        <w:jc w:val="left"/>
      </w:pPr>
      <w:r>
        <w:rPr>
          <w:rStyle w:val="8"/>
          <w:rFonts w:ascii="宋体" w:hAnsi="宋体" w:eastAsia="宋体" w:cs="宋体"/>
          <w:b/>
          <w:kern w:val="0"/>
          <w:sz w:val="24"/>
          <w:szCs w:val="24"/>
          <w:lang w:val="en-US" w:eastAsia="zh-CN" w:bidi="ar"/>
        </w:rPr>
        <w:t>包：3</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3987D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077990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14448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740DA71">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0B4E2161">
      <w:pPr>
        <w:keepNext w:val="0"/>
        <w:keepLines w:val="0"/>
        <w:widowControl/>
        <w:suppressLineNumbers w:val="0"/>
        <w:jc w:val="left"/>
      </w:pPr>
      <w:r>
        <w:rPr>
          <w:rStyle w:val="8"/>
          <w:rFonts w:ascii="宋体" w:hAnsi="宋体" w:eastAsia="宋体" w:cs="宋体"/>
          <w:b/>
          <w:kern w:val="0"/>
          <w:sz w:val="24"/>
          <w:szCs w:val="24"/>
          <w:lang w:val="en-US" w:eastAsia="zh-CN" w:bidi="ar"/>
        </w:rPr>
        <w:t>包：4</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73BD8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0456E1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B46678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0B966B3">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22A6DC1">
      <w:pPr>
        <w:keepNext w:val="0"/>
        <w:keepLines w:val="0"/>
        <w:widowControl/>
        <w:suppressLineNumbers w:val="0"/>
        <w:jc w:val="left"/>
      </w:pPr>
      <w:r>
        <w:rPr>
          <w:rStyle w:val="8"/>
          <w:rFonts w:ascii="宋体" w:hAnsi="宋体" w:eastAsia="宋体" w:cs="宋体"/>
          <w:b/>
          <w:kern w:val="0"/>
          <w:sz w:val="24"/>
          <w:szCs w:val="24"/>
          <w:lang w:val="en-US" w:eastAsia="zh-CN" w:bidi="ar"/>
        </w:rPr>
        <w:t>包：5</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0D16E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484A5E9">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7E1214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C446F8F">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A46C868">
      <w:pPr>
        <w:keepNext w:val="0"/>
        <w:keepLines w:val="0"/>
        <w:widowControl/>
        <w:suppressLineNumbers w:val="0"/>
        <w:jc w:val="left"/>
      </w:pPr>
      <w:r>
        <w:rPr>
          <w:rStyle w:val="8"/>
          <w:rFonts w:ascii="宋体" w:hAnsi="宋体" w:eastAsia="宋体" w:cs="宋体"/>
          <w:b/>
          <w:kern w:val="0"/>
          <w:sz w:val="24"/>
          <w:szCs w:val="24"/>
          <w:lang w:val="en-US" w:eastAsia="zh-CN" w:bidi="ar"/>
        </w:rPr>
        <w:t>包：6</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CB0A0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958AB4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288929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91A9DD5">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4D8045E0">
      <w:pPr>
        <w:keepNext w:val="0"/>
        <w:keepLines w:val="0"/>
        <w:widowControl/>
        <w:suppressLineNumbers w:val="0"/>
        <w:jc w:val="left"/>
      </w:pPr>
      <w:r>
        <w:rPr>
          <w:rStyle w:val="8"/>
          <w:rFonts w:ascii="宋体" w:hAnsi="宋体" w:eastAsia="宋体" w:cs="宋体"/>
          <w:b/>
          <w:kern w:val="0"/>
          <w:sz w:val="24"/>
          <w:szCs w:val="24"/>
          <w:lang w:val="en-US" w:eastAsia="zh-CN" w:bidi="ar"/>
        </w:rPr>
        <w:t>包：7</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363B32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7E44CC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04551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9B32E68">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46F02AF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1.5若本项目接受联合体投标且投标人为联合体，联合体中有同类资质的供应商按照联合体分工承担相同工作的，应先按照资质等级较低的供应商确定资质等级，再按照本章第</w:t>
      </w:r>
      <w:r>
        <w:rPr>
          <w:rFonts w:hint="default" w:ascii="Calibri" w:hAnsi="Calibri" w:cs="Calibri"/>
          <w:spacing w:val="0"/>
          <w:sz w:val="24"/>
          <w:szCs w:val="24"/>
        </w:rPr>
        <w:t>1.2</w:t>
      </w:r>
      <w:r>
        <w:rPr>
          <w:rFonts w:hint="eastAsia" w:ascii="宋体" w:hAnsi="宋体" w:eastAsia="宋体" w:cs="宋体"/>
          <w:spacing w:val="0"/>
          <w:sz w:val="24"/>
          <w:szCs w:val="24"/>
        </w:rPr>
        <w:t>、</w:t>
      </w:r>
      <w:r>
        <w:rPr>
          <w:rFonts w:hint="default" w:ascii="Calibri" w:hAnsi="Calibri" w:cs="Calibri"/>
          <w:spacing w:val="0"/>
          <w:sz w:val="24"/>
          <w:szCs w:val="24"/>
        </w:rPr>
        <w:t>1.3</w:t>
      </w:r>
      <w:r>
        <w:rPr>
          <w:rFonts w:hint="eastAsia" w:ascii="宋体" w:hAnsi="宋体" w:eastAsia="宋体" w:cs="宋体"/>
          <w:spacing w:val="0"/>
          <w:sz w:val="24"/>
          <w:szCs w:val="24"/>
        </w:rPr>
        <w:t>、</w:t>
      </w:r>
      <w:r>
        <w:rPr>
          <w:rFonts w:hint="default" w:ascii="Calibri" w:hAnsi="Calibri" w:cs="Calibri"/>
          <w:spacing w:val="0"/>
          <w:sz w:val="24"/>
          <w:szCs w:val="24"/>
        </w:rPr>
        <w:t>1.4</w:t>
      </w:r>
      <w:r>
        <w:rPr>
          <w:rFonts w:hint="eastAsia" w:ascii="宋体" w:hAnsi="宋体" w:eastAsia="宋体" w:cs="宋体"/>
          <w:spacing w:val="0"/>
          <w:sz w:val="24"/>
          <w:szCs w:val="24"/>
        </w:rPr>
        <w:t>条规定进行资格审查。</w:t>
      </w:r>
    </w:p>
    <w:p w14:paraId="6C3A9CD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2、资格审查情况不得私自外泄，有关信息由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统一对外发布。</w:t>
      </w:r>
    </w:p>
    <w:p w14:paraId="0B274C81">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3、资格审查合格的投标人不足三家的，不进行评标。同时，本次采购活动结束，</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将依法组织后续采购活动（包括但不限于：重新招标、采用其他方式采购等）。</w:t>
      </w:r>
    </w:p>
    <w:p w14:paraId="4B66D204">
      <w:pPr>
        <w:pStyle w:val="5"/>
        <w:keepNext w:val="0"/>
        <w:keepLines w:val="0"/>
        <w:widowControl/>
        <w:suppressLineNumbers w:val="0"/>
        <w:spacing w:before="75" w:beforeAutospacing="0" w:after="75" w:afterAutospacing="0"/>
        <w:ind w:left="0" w:right="0" w:firstLine="0"/>
      </w:pPr>
      <w:r>
        <w:rPr>
          <w:spacing w:val="0"/>
          <w:sz w:val="24"/>
          <w:szCs w:val="24"/>
        </w:rPr>
        <w:t> </w:t>
      </w:r>
    </w:p>
    <w:p w14:paraId="5C61A50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9E172D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1B7F96C">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8464DF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B1ACCA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6A4970E2">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71B0C7EB">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157D80A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3B12223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24"/>
          <w:szCs w:val="24"/>
        </w:rPr>
      </w:pPr>
    </w:p>
    <w:p w14:paraId="47516D2E">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二、评标</w:t>
      </w:r>
    </w:p>
    <w:p w14:paraId="667FAEF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4、</w:t>
      </w:r>
      <w:r>
        <w:rPr>
          <w:rFonts w:hint="eastAsia" w:ascii="宋体" w:hAnsi="宋体" w:eastAsia="宋体" w:cs="宋体"/>
        </w:rPr>
        <w:t>资格审查结束后，由</w:t>
      </w:r>
      <w:r>
        <w:rPr>
          <w:rFonts w:hint="eastAsia" w:ascii="宋体" w:hAnsi="宋体" w:eastAsia="宋体" w:cs="宋体"/>
          <w:spacing w:val="0"/>
        </w:rPr>
        <w:t>福建省顺鑫招标代理有限公司负责评标委员会的组建及评标工作的组织。</w:t>
      </w:r>
    </w:p>
    <w:p w14:paraId="35A7767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5、评标委员会</w:t>
      </w:r>
    </w:p>
    <w:p w14:paraId="16CC1FD2">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5.1评标委员会由采购人代表和评标专家两部分共</w:t>
      </w:r>
      <w:r>
        <w:rPr>
          <w:rFonts w:hint="eastAsia" w:ascii="宋体" w:hAnsi="宋体" w:eastAsia="宋体" w:cs="宋体"/>
          <w:spacing w:val="0"/>
          <w:sz w:val="24"/>
          <w:szCs w:val="24"/>
          <w:u w:val="single"/>
        </w:rPr>
        <w:t>5</w:t>
      </w:r>
      <w:r>
        <w:rPr>
          <w:rFonts w:hint="eastAsia" w:ascii="宋体" w:hAnsi="宋体" w:eastAsia="宋体" w:cs="宋体"/>
          <w:spacing w:val="0"/>
          <w:sz w:val="24"/>
          <w:szCs w:val="24"/>
        </w:rPr>
        <w:t>人（以下简称“评委”）组成，其中：由采购人派出的采购人代表</w:t>
      </w:r>
      <w:r>
        <w:rPr>
          <w:rFonts w:hint="eastAsia" w:ascii="宋体" w:hAnsi="宋体" w:eastAsia="宋体" w:cs="宋体"/>
          <w:spacing w:val="0"/>
          <w:sz w:val="24"/>
          <w:szCs w:val="24"/>
          <w:u w:val="single"/>
        </w:rPr>
        <w:t>1</w:t>
      </w:r>
      <w:r>
        <w:rPr>
          <w:rFonts w:hint="eastAsia" w:ascii="宋体" w:hAnsi="宋体" w:eastAsia="宋体" w:cs="宋体"/>
          <w:spacing w:val="0"/>
          <w:sz w:val="24"/>
          <w:szCs w:val="24"/>
        </w:rPr>
        <w:t>人，由福建省政府采购评审专家库产生的评标专家</w:t>
      </w:r>
      <w:r>
        <w:rPr>
          <w:rFonts w:hint="eastAsia" w:ascii="宋体" w:hAnsi="宋体" w:eastAsia="宋体" w:cs="宋体"/>
          <w:spacing w:val="0"/>
          <w:sz w:val="24"/>
          <w:szCs w:val="24"/>
          <w:u w:val="single"/>
        </w:rPr>
        <w:t>4</w:t>
      </w:r>
      <w:r>
        <w:rPr>
          <w:rFonts w:hint="eastAsia" w:ascii="宋体" w:hAnsi="宋体" w:eastAsia="宋体" w:cs="宋体"/>
          <w:spacing w:val="0"/>
          <w:sz w:val="24"/>
          <w:szCs w:val="24"/>
        </w:rPr>
        <w:t>人。</w:t>
      </w:r>
    </w:p>
    <w:p w14:paraId="599ED33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5.2评标委员会负责具体评标事务，并按照下列原则依法独立履行有关职责：</w:t>
      </w:r>
    </w:p>
    <w:p w14:paraId="1903E1F2">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（1）评标应保护国家利益、社会公共利益和各方当事人合法权益，提高采购效益，保证项目质量。</w:t>
      </w:r>
    </w:p>
    <w:p w14:paraId="408F6F8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（2）评标应遵循公平、公正、科学、严谨和择优原则。</w:t>
      </w:r>
    </w:p>
    <w:p w14:paraId="3916CE5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（3）评标的依据是招标文件和投标文件。</w:t>
      </w:r>
    </w:p>
    <w:p w14:paraId="5D3296A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（4）应按照招标文件规定推荐中标候选人或确定中标人。</w:t>
      </w:r>
    </w:p>
    <w:p w14:paraId="74018E4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（5）评标应遵守下列评标纪律：</w:t>
      </w:r>
    </w:p>
    <w:p w14:paraId="2097EEF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①评标情况不得私自外泄，有关信息由</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统一对外发布。</w:t>
      </w:r>
    </w:p>
    <w:p w14:paraId="133A8D8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②对</w:t>
      </w:r>
      <w:r>
        <w:rPr>
          <w:rFonts w:hint="eastAsia" w:ascii="宋体" w:hAnsi="宋体" w:eastAsia="宋体" w:cs="宋体"/>
          <w:spacing w:val="0"/>
          <w:sz w:val="24"/>
          <w:szCs w:val="24"/>
          <w:u w:val="single"/>
        </w:rPr>
        <w:t>福建省顺鑫招标代理有限公司</w:t>
      </w:r>
      <w:r>
        <w:rPr>
          <w:rFonts w:hint="eastAsia" w:ascii="宋体" w:hAnsi="宋体" w:eastAsia="宋体" w:cs="宋体"/>
          <w:spacing w:val="0"/>
          <w:sz w:val="24"/>
          <w:szCs w:val="24"/>
        </w:rPr>
        <w:t>或投标人提供的要求保密的资料，不得摘记翻印和外传。</w:t>
      </w:r>
    </w:p>
    <w:p w14:paraId="018FBCF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③不得收受投标人或有关人员的任何礼物，不得串联鼓动其他人袒护某投标人。若与投标人存在利害关系，则应主动声明并回避。</w:t>
      </w:r>
    </w:p>
    <w:p w14:paraId="697AEC7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④全体评委应按照招标文件规定进行评标，一切认定事项应查有实据且不得弄虚作假。</w:t>
      </w:r>
    </w:p>
    <w:p w14:paraId="2E11505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⑤评标中应充分发扬民主，推荐中标候选人或确定中标人后要服从评标报告。</w:t>
      </w:r>
    </w:p>
    <w:p w14:paraId="4922D78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Style w:val="8"/>
          <w:rFonts w:hint="eastAsia" w:ascii="宋体" w:hAnsi="宋体" w:eastAsia="宋体" w:cs="宋体"/>
          <w:b/>
          <w:spacing w:val="0"/>
          <w:sz w:val="24"/>
          <w:szCs w:val="24"/>
        </w:rPr>
        <w:t>※对违反评标纪律的评委，将取消其评委资格，对评标工作造成严重损失者将予以通报批评乃至追究法律责任。</w:t>
      </w:r>
    </w:p>
    <w:p w14:paraId="504C9A5C">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6、评标程序</w:t>
      </w:r>
    </w:p>
    <w:p w14:paraId="177EB4C4">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6.1评标前的准备工作</w:t>
      </w:r>
    </w:p>
    <w:p w14:paraId="09AF07A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（1）全体评委应认真审阅招标文件，了解评委应履行或遵守的职责、义务和评标纪律。</w:t>
      </w:r>
    </w:p>
    <w:p w14:paraId="3BCA1B4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（2）参加评标委员会的采购人代表可对本项目的背景和采购需求进行介绍，介绍材料应以书面形式提交（随采购文件一并存档），介绍内容不得含有歧视性、倾向性意见，不得超出招标文件所述范围。</w:t>
      </w:r>
    </w:p>
    <w:p w14:paraId="34CD5F0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0"/>
        <w:textAlignment w:val="auto"/>
      </w:pPr>
      <w:r>
        <w:rPr>
          <w:rFonts w:hint="eastAsia" w:ascii="宋体" w:hAnsi="宋体" w:eastAsia="宋体" w:cs="宋体"/>
          <w:spacing w:val="0"/>
          <w:sz w:val="24"/>
          <w:szCs w:val="24"/>
        </w:rPr>
        <w:t>6.2符合性审查</w:t>
      </w:r>
    </w:p>
    <w:p w14:paraId="7F0073A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（1）评标委员会依据招标文件的实质性要求，对通过资格审查的投标文件进行符合性审查，以确定其是否满足招标文件的实质性要求。</w:t>
      </w:r>
    </w:p>
    <w:p w14:paraId="11BED936">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（2）满足招标文件的实质性要求指投标文件对招标文件实质性要求的响应不存在重大偏差或保留。</w:t>
      </w:r>
    </w:p>
    <w:p w14:paraId="25E23B46">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3）重大偏差或保留指影响到招标文件规定的合同范围、合同履行及影响关键质量和性能，或限制了采购人的权利，或反对、减少投标人的义务，而纠正这些重大偏差或保留将影响到其他提交实质性响应投标的投标人的公平竞争地位。</w:t>
      </w:r>
    </w:p>
    <w:p w14:paraId="05E35FE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4）评标委员会审查判断投标文件是否满足招标文件的实质性要求仅基于投标文件本身而不寻求其他的外部证据。未满足招标文件实质性要求的投标文件将被评标委员会否决（即符合性审查不合格），被否决的投标文件不能通过补充、修改（澄清、说明或补正）等方式重新成为满足招标文件实质性要求的投标文件。</w:t>
      </w:r>
    </w:p>
    <w:p w14:paraId="01C8C78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280" w:lineRule="exact"/>
        <w:ind w:left="0" w:right="0" w:firstLine="480"/>
        <w:textAlignment w:val="auto"/>
      </w:pPr>
      <w:r>
        <w:rPr>
          <w:rFonts w:hint="eastAsia" w:ascii="宋体" w:hAnsi="宋体" w:eastAsia="宋体" w:cs="宋体"/>
          <w:spacing w:val="0"/>
          <w:sz w:val="24"/>
          <w:szCs w:val="24"/>
        </w:rPr>
        <w:t>（5）评标委员会对所有投标人都执行相同的程序和标准。</w:t>
      </w:r>
    </w:p>
    <w:p w14:paraId="4264EB7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（6）有下列情形之一的，</w:t>
      </w:r>
      <w:r>
        <w:rPr>
          <w:rStyle w:val="8"/>
          <w:rFonts w:hint="eastAsia" w:ascii="宋体" w:hAnsi="宋体" w:eastAsia="宋体" w:cs="宋体"/>
          <w:b/>
          <w:spacing w:val="0"/>
          <w:sz w:val="24"/>
          <w:szCs w:val="24"/>
        </w:rPr>
        <w:t>符合性审查不合格：</w:t>
      </w:r>
    </w:p>
    <w:p w14:paraId="49BC73F9">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①项目一般情形：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3C2FAF3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C4AF19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9704E5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B3E7F74">
            <w:pPr>
              <w:keepNext w:val="0"/>
              <w:keepLines w:val="0"/>
              <w:widowControl/>
              <w:suppressLineNumbers w:val="0"/>
              <w:jc w:val="left"/>
            </w:pPr>
            <w:r>
              <w:rPr>
                <w:rFonts w:ascii="宋体" w:hAnsi="宋体" w:eastAsia="宋体" w:cs="宋体"/>
                <w:kern w:val="0"/>
                <w:sz w:val="24"/>
                <w:szCs w:val="24"/>
                <w:lang w:val="en-US" w:eastAsia="zh-CN" w:bidi="ar"/>
              </w:rPr>
              <w:t>违反招标文件中载明“投标无效”条款的规定；</w:t>
            </w:r>
          </w:p>
        </w:tc>
      </w:tr>
      <w:tr w14:paraId="30FDEA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AEB9C0B">
            <w:pPr>
              <w:keepNext w:val="0"/>
              <w:keepLines w:val="0"/>
              <w:widowControl/>
              <w:suppressLineNumbers w:val="0"/>
              <w:jc w:val="left"/>
            </w:pPr>
            <w:r>
              <w:rPr>
                <w:rFonts w:ascii="宋体" w:hAnsi="宋体" w:eastAsia="宋体" w:cs="宋体"/>
                <w:kern w:val="0"/>
                <w:sz w:val="24"/>
                <w:szCs w:val="24"/>
                <w:lang w:val="en-US" w:eastAsia="zh-CN" w:bidi="ar"/>
              </w:rPr>
              <w:t>属于招标文件第三章第10.12条规定的投标无效情形；</w:t>
            </w:r>
          </w:p>
        </w:tc>
      </w:tr>
      <w:tr w14:paraId="60CB82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AC2F35E">
            <w:pPr>
              <w:keepNext w:val="0"/>
              <w:keepLines w:val="0"/>
              <w:widowControl/>
              <w:suppressLineNumbers w:val="0"/>
              <w:jc w:val="left"/>
            </w:pPr>
            <w:r>
              <w:rPr>
                <w:rFonts w:ascii="宋体" w:hAnsi="宋体" w:eastAsia="宋体" w:cs="宋体"/>
                <w:kern w:val="0"/>
                <w:sz w:val="24"/>
                <w:szCs w:val="24"/>
                <w:lang w:val="en-US" w:eastAsia="zh-CN" w:bidi="ar"/>
              </w:rPr>
              <w:t>投标文件对招标文件实质性要求的响应存在重大偏离或保留。</w:t>
            </w:r>
          </w:p>
        </w:tc>
      </w:tr>
    </w:tbl>
    <w:p w14:paraId="2D00747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②本项目规定的其他情形：</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包：1 </w:t>
      </w:r>
      <w:r>
        <w:rPr>
          <w:rFonts w:hint="eastAsia" w:ascii="宋体" w:hAnsi="宋体" w:eastAsia="宋体" w:cs="宋体"/>
          <w:spacing w:val="0"/>
          <w:sz w:val="24"/>
          <w:szCs w:val="24"/>
        </w:rPr>
        <w:br w:type="textWrapping"/>
      </w:r>
      <w:r>
        <w:rPr>
          <w:rFonts w:hint="eastAsia" w:ascii="宋体" w:hAnsi="宋体" w:eastAsia="宋体" w:cs="宋体"/>
          <w:spacing w:val="0"/>
          <w:sz w:val="24"/>
          <w:szCs w:val="24"/>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77DD55D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E6DACC0">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2BE4D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4240C4B">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051F15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4FC7D5F">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7CE72639">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7053E44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64828B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90DC5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71B0B1D">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2EC1FDA5">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29CD1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E4AA2B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22183B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320B0D6">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5D1B50E2">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B1251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760FB6F">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3DB6F6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B937DEB">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2AB1A2D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7886CF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D16913B">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FC1F17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36F002B">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4261C45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A9F9D15">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7A3D06C7">
      <w:pPr>
        <w:keepNext w:val="0"/>
        <w:keepLines w:val="0"/>
        <w:widowControl/>
        <w:suppressLineNumbers w:val="0"/>
        <w:jc w:val="left"/>
      </w:pPr>
      <w:r>
        <w:rPr>
          <w:rFonts w:ascii="宋体" w:hAnsi="宋体" w:eastAsia="宋体" w:cs="宋体"/>
          <w:kern w:val="0"/>
          <w:sz w:val="24"/>
          <w:szCs w:val="24"/>
          <w:lang w:val="en-US" w:eastAsia="zh-CN" w:bidi="ar"/>
        </w:rPr>
        <w:t>包：2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810DA2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352DA2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4E1AC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8B79AE9">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67AD39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9BE51E0">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638877D6">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4F5917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615997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94318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7B986CA">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4C4C712C">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ED2110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7FDB38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987274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255CC02">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4F228337">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77E9A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D7C9AF7">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3C1D36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E01D083">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1A2B891C">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482DC1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3300DE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F9F704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E0D27DC">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7A7A2E0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C2A0DD4">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0CC8C09D">
      <w:pPr>
        <w:keepNext w:val="0"/>
        <w:keepLines w:val="0"/>
        <w:widowControl/>
        <w:suppressLineNumbers w:val="0"/>
        <w:jc w:val="left"/>
        <w:rPr>
          <w:rFonts w:ascii="宋体" w:hAnsi="宋体" w:eastAsia="宋体" w:cs="宋体"/>
          <w:kern w:val="0"/>
          <w:sz w:val="24"/>
          <w:szCs w:val="24"/>
          <w:lang w:val="en-US" w:eastAsia="zh-CN" w:bidi="ar"/>
        </w:rPr>
      </w:pPr>
    </w:p>
    <w:p w14:paraId="58A3ACC7">
      <w:pPr>
        <w:keepNext w:val="0"/>
        <w:keepLines w:val="0"/>
        <w:widowControl/>
        <w:suppressLineNumbers w:val="0"/>
        <w:jc w:val="left"/>
        <w:rPr>
          <w:rFonts w:ascii="宋体" w:hAnsi="宋体" w:eastAsia="宋体" w:cs="宋体"/>
          <w:kern w:val="0"/>
          <w:sz w:val="24"/>
          <w:szCs w:val="24"/>
          <w:lang w:val="en-US" w:eastAsia="zh-CN" w:bidi="ar"/>
        </w:rPr>
      </w:pPr>
    </w:p>
    <w:p w14:paraId="0452FC1E">
      <w:pPr>
        <w:keepNext w:val="0"/>
        <w:keepLines w:val="0"/>
        <w:widowControl/>
        <w:suppressLineNumbers w:val="0"/>
        <w:jc w:val="left"/>
        <w:rPr>
          <w:rFonts w:ascii="宋体" w:hAnsi="宋体" w:eastAsia="宋体" w:cs="宋体"/>
          <w:kern w:val="0"/>
          <w:sz w:val="24"/>
          <w:szCs w:val="24"/>
          <w:lang w:val="en-US" w:eastAsia="zh-CN" w:bidi="ar"/>
        </w:rPr>
      </w:pPr>
    </w:p>
    <w:p w14:paraId="60A522FA">
      <w:pPr>
        <w:keepNext w:val="0"/>
        <w:keepLines w:val="0"/>
        <w:widowControl/>
        <w:suppressLineNumbers w:val="0"/>
        <w:jc w:val="left"/>
        <w:rPr>
          <w:rFonts w:ascii="宋体" w:hAnsi="宋体" w:eastAsia="宋体" w:cs="宋体"/>
          <w:kern w:val="0"/>
          <w:sz w:val="24"/>
          <w:szCs w:val="24"/>
          <w:lang w:val="en-US" w:eastAsia="zh-CN" w:bidi="ar"/>
        </w:rPr>
      </w:pPr>
    </w:p>
    <w:p w14:paraId="410E7F4B">
      <w:pPr>
        <w:keepNext w:val="0"/>
        <w:keepLines w:val="0"/>
        <w:widowControl/>
        <w:suppressLineNumbers w:val="0"/>
        <w:jc w:val="left"/>
        <w:rPr>
          <w:rFonts w:ascii="宋体" w:hAnsi="宋体" w:eastAsia="宋体" w:cs="宋体"/>
          <w:kern w:val="0"/>
          <w:sz w:val="24"/>
          <w:szCs w:val="24"/>
          <w:lang w:val="en-US" w:eastAsia="zh-CN" w:bidi="ar"/>
        </w:rPr>
      </w:pPr>
    </w:p>
    <w:p w14:paraId="7E7549BB">
      <w:pPr>
        <w:keepNext w:val="0"/>
        <w:keepLines w:val="0"/>
        <w:widowControl/>
        <w:suppressLineNumbers w:val="0"/>
        <w:jc w:val="left"/>
        <w:rPr>
          <w:rFonts w:ascii="宋体" w:hAnsi="宋体" w:eastAsia="宋体" w:cs="宋体"/>
          <w:kern w:val="0"/>
          <w:sz w:val="24"/>
          <w:szCs w:val="24"/>
          <w:lang w:val="en-US" w:eastAsia="zh-CN" w:bidi="ar"/>
        </w:rPr>
      </w:pPr>
    </w:p>
    <w:p w14:paraId="372F6760">
      <w:pPr>
        <w:keepNext w:val="0"/>
        <w:keepLines w:val="0"/>
        <w:widowControl/>
        <w:suppressLineNumbers w:val="0"/>
        <w:jc w:val="left"/>
        <w:rPr>
          <w:rFonts w:ascii="宋体" w:hAnsi="宋体" w:eastAsia="宋体" w:cs="宋体"/>
          <w:kern w:val="0"/>
          <w:sz w:val="24"/>
          <w:szCs w:val="24"/>
          <w:lang w:val="en-US" w:eastAsia="zh-CN" w:bidi="ar"/>
        </w:rPr>
      </w:pPr>
    </w:p>
    <w:p w14:paraId="1F5C008B">
      <w:pPr>
        <w:keepNext w:val="0"/>
        <w:keepLines w:val="0"/>
        <w:widowControl/>
        <w:suppressLineNumbers w:val="0"/>
        <w:jc w:val="left"/>
        <w:rPr>
          <w:rFonts w:ascii="宋体" w:hAnsi="宋体" w:eastAsia="宋体" w:cs="宋体"/>
          <w:kern w:val="0"/>
          <w:sz w:val="24"/>
          <w:szCs w:val="24"/>
          <w:lang w:val="en-US" w:eastAsia="zh-CN" w:bidi="ar"/>
        </w:rPr>
      </w:pPr>
    </w:p>
    <w:p w14:paraId="29E2C64B">
      <w:pPr>
        <w:keepNext w:val="0"/>
        <w:keepLines w:val="0"/>
        <w:widowControl/>
        <w:suppressLineNumbers w:val="0"/>
        <w:jc w:val="left"/>
        <w:rPr>
          <w:rFonts w:ascii="宋体" w:hAnsi="宋体" w:eastAsia="宋体" w:cs="宋体"/>
          <w:kern w:val="0"/>
          <w:sz w:val="24"/>
          <w:szCs w:val="24"/>
          <w:lang w:val="en-US" w:eastAsia="zh-CN" w:bidi="ar"/>
        </w:rPr>
      </w:pPr>
    </w:p>
    <w:p w14:paraId="71378054">
      <w:pPr>
        <w:keepNext w:val="0"/>
        <w:keepLines w:val="0"/>
        <w:widowControl/>
        <w:suppressLineNumbers w:val="0"/>
        <w:jc w:val="left"/>
        <w:rPr>
          <w:rFonts w:ascii="宋体" w:hAnsi="宋体" w:eastAsia="宋体" w:cs="宋体"/>
          <w:kern w:val="0"/>
          <w:sz w:val="24"/>
          <w:szCs w:val="24"/>
          <w:lang w:val="en-US" w:eastAsia="zh-CN" w:bidi="ar"/>
        </w:rPr>
      </w:pPr>
    </w:p>
    <w:p w14:paraId="5FED12DA">
      <w:pPr>
        <w:keepNext w:val="0"/>
        <w:keepLines w:val="0"/>
        <w:widowControl/>
        <w:suppressLineNumbers w:val="0"/>
        <w:jc w:val="left"/>
        <w:rPr>
          <w:rFonts w:ascii="宋体" w:hAnsi="宋体" w:eastAsia="宋体" w:cs="宋体"/>
          <w:kern w:val="0"/>
          <w:sz w:val="24"/>
          <w:szCs w:val="24"/>
          <w:lang w:val="en-US" w:eastAsia="zh-CN" w:bidi="ar"/>
        </w:rPr>
      </w:pPr>
    </w:p>
    <w:p w14:paraId="4814F11E">
      <w:pPr>
        <w:keepNext w:val="0"/>
        <w:keepLines w:val="0"/>
        <w:widowControl/>
        <w:suppressLineNumbers w:val="0"/>
        <w:jc w:val="left"/>
        <w:rPr>
          <w:rFonts w:ascii="宋体" w:hAnsi="宋体" w:eastAsia="宋体" w:cs="宋体"/>
          <w:kern w:val="0"/>
          <w:sz w:val="24"/>
          <w:szCs w:val="24"/>
          <w:lang w:val="en-US" w:eastAsia="zh-CN" w:bidi="ar"/>
        </w:rPr>
      </w:pPr>
    </w:p>
    <w:p w14:paraId="557F0A20">
      <w:pPr>
        <w:keepNext w:val="0"/>
        <w:keepLines w:val="0"/>
        <w:widowControl/>
        <w:suppressLineNumbers w:val="0"/>
        <w:jc w:val="left"/>
        <w:rPr>
          <w:rFonts w:ascii="宋体" w:hAnsi="宋体" w:eastAsia="宋体" w:cs="宋体"/>
          <w:kern w:val="0"/>
          <w:sz w:val="24"/>
          <w:szCs w:val="24"/>
          <w:lang w:val="en-US" w:eastAsia="zh-CN" w:bidi="ar"/>
        </w:rPr>
      </w:pPr>
    </w:p>
    <w:p w14:paraId="67A07E2E">
      <w:pPr>
        <w:keepNext w:val="0"/>
        <w:keepLines w:val="0"/>
        <w:widowControl/>
        <w:suppressLineNumbers w:val="0"/>
        <w:jc w:val="left"/>
      </w:pPr>
      <w:r>
        <w:rPr>
          <w:rFonts w:ascii="宋体" w:hAnsi="宋体" w:eastAsia="宋体" w:cs="宋体"/>
          <w:kern w:val="0"/>
          <w:sz w:val="24"/>
          <w:szCs w:val="24"/>
          <w:lang w:val="en-US" w:eastAsia="zh-CN" w:bidi="ar"/>
        </w:rPr>
        <w:t>包：3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39551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EE2C8D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44953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3029411">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44BEED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B2462F3">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5CC21539">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C4E98C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632654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96EB94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CD01A0A">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2D4C283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3909FA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2749E1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276150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92283C5">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3D002688">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54B53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6DA3759">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B96B26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F1B066F">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172A4B57">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0303A5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F1ACE6F">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52E05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FB4A95F">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3CC4781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F1E1277">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34BBE9E3">
      <w:pPr>
        <w:keepNext w:val="0"/>
        <w:keepLines w:val="0"/>
        <w:widowControl/>
        <w:suppressLineNumbers w:val="0"/>
        <w:jc w:val="left"/>
        <w:rPr>
          <w:rFonts w:ascii="宋体" w:hAnsi="宋体" w:eastAsia="宋体" w:cs="宋体"/>
          <w:kern w:val="0"/>
          <w:sz w:val="24"/>
          <w:szCs w:val="24"/>
          <w:lang w:val="en-US" w:eastAsia="zh-CN" w:bidi="ar"/>
        </w:rPr>
      </w:pPr>
    </w:p>
    <w:p w14:paraId="7E787C6E">
      <w:pPr>
        <w:keepNext w:val="0"/>
        <w:keepLines w:val="0"/>
        <w:widowControl/>
        <w:suppressLineNumbers w:val="0"/>
        <w:jc w:val="left"/>
        <w:rPr>
          <w:rFonts w:ascii="宋体" w:hAnsi="宋体" w:eastAsia="宋体" w:cs="宋体"/>
          <w:kern w:val="0"/>
          <w:sz w:val="24"/>
          <w:szCs w:val="24"/>
          <w:lang w:val="en-US" w:eastAsia="zh-CN" w:bidi="ar"/>
        </w:rPr>
      </w:pPr>
    </w:p>
    <w:p w14:paraId="320396A8">
      <w:pPr>
        <w:keepNext w:val="0"/>
        <w:keepLines w:val="0"/>
        <w:widowControl/>
        <w:suppressLineNumbers w:val="0"/>
        <w:jc w:val="left"/>
        <w:rPr>
          <w:rFonts w:ascii="宋体" w:hAnsi="宋体" w:eastAsia="宋体" w:cs="宋体"/>
          <w:kern w:val="0"/>
          <w:sz w:val="24"/>
          <w:szCs w:val="24"/>
          <w:lang w:val="en-US" w:eastAsia="zh-CN" w:bidi="ar"/>
        </w:rPr>
      </w:pPr>
    </w:p>
    <w:p w14:paraId="5DB33DA7">
      <w:pPr>
        <w:keepNext w:val="0"/>
        <w:keepLines w:val="0"/>
        <w:widowControl/>
        <w:suppressLineNumbers w:val="0"/>
        <w:jc w:val="left"/>
        <w:rPr>
          <w:rFonts w:ascii="宋体" w:hAnsi="宋体" w:eastAsia="宋体" w:cs="宋体"/>
          <w:kern w:val="0"/>
          <w:sz w:val="24"/>
          <w:szCs w:val="24"/>
          <w:lang w:val="en-US" w:eastAsia="zh-CN" w:bidi="ar"/>
        </w:rPr>
      </w:pPr>
    </w:p>
    <w:p w14:paraId="5DB372F3">
      <w:pPr>
        <w:keepNext w:val="0"/>
        <w:keepLines w:val="0"/>
        <w:widowControl/>
        <w:suppressLineNumbers w:val="0"/>
        <w:jc w:val="left"/>
        <w:rPr>
          <w:rFonts w:ascii="宋体" w:hAnsi="宋体" w:eastAsia="宋体" w:cs="宋体"/>
          <w:kern w:val="0"/>
          <w:sz w:val="24"/>
          <w:szCs w:val="24"/>
          <w:lang w:val="en-US" w:eastAsia="zh-CN" w:bidi="ar"/>
        </w:rPr>
      </w:pPr>
    </w:p>
    <w:p w14:paraId="643DC578">
      <w:pPr>
        <w:keepNext w:val="0"/>
        <w:keepLines w:val="0"/>
        <w:widowControl/>
        <w:suppressLineNumbers w:val="0"/>
        <w:jc w:val="left"/>
        <w:rPr>
          <w:rFonts w:ascii="宋体" w:hAnsi="宋体" w:eastAsia="宋体" w:cs="宋体"/>
          <w:kern w:val="0"/>
          <w:sz w:val="24"/>
          <w:szCs w:val="24"/>
          <w:lang w:val="en-US" w:eastAsia="zh-CN" w:bidi="ar"/>
        </w:rPr>
      </w:pPr>
    </w:p>
    <w:p w14:paraId="340CD7DD">
      <w:pPr>
        <w:keepNext w:val="0"/>
        <w:keepLines w:val="0"/>
        <w:widowControl/>
        <w:suppressLineNumbers w:val="0"/>
        <w:jc w:val="left"/>
        <w:rPr>
          <w:rFonts w:ascii="宋体" w:hAnsi="宋体" w:eastAsia="宋体" w:cs="宋体"/>
          <w:kern w:val="0"/>
          <w:sz w:val="24"/>
          <w:szCs w:val="24"/>
          <w:lang w:val="en-US" w:eastAsia="zh-CN" w:bidi="ar"/>
        </w:rPr>
      </w:pPr>
    </w:p>
    <w:p w14:paraId="12CC1D78">
      <w:pPr>
        <w:keepNext w:val="0"/>
        <w:keepLines w:val="0"/>
        <w:widowControl/>
        <w:suppressLineNumbers w:val="0"/>
        <w:jc w:val="left"/>
        <w:rPr>
          <w:rFonts w:ascii="宋体" w:hAnsi="宋体" w:eastAsia="宋体" w:cs="宋体"/>
          <w:kern w:val="0"/>
          <w:sz w:val="24"/>
          <w:szCs w:val="24"/>
          <w:lang w:val="en-US" w:eastAsia="zh-CN" w:bidi="ar"/>
        </w:rPr>
      </w:pPr>
    </w:p>
    <w:p w14:paraId="315CA271">
      <w:pPr>
        <w:keepNext w:val="0"/>
        <w:keepLines w:val="0"/>
        <w:widowControl/>
        <w:suppressLineNumbers w:val="0"/>
        <w:jc w:val="left"/>
        <w:rPr>
          <w:rFonts w:ascii="宋体" w:hAnsi="宋体" w:eastAsia="宋体" w:cs="宋体"/>
          <w:kern w:val="0"/>
          <w:sz w:val="24"/>
          <w:szCs w:val="24"/>
          <w:lang w:val="en-US" w:eastAsia="zh-CN" w:bidi="ar"/>
        </w:rPr>
      </w:pPr>
    </w:p>
    <w:p w14:paraId="1384E5D7">
      <w:pPr>
        <w:keepNext w:val="0"/>
        <w:keepLines w:val="0"/>
        <w:widowControl/>
        <w:suppressLineNumbers w:val="0"/>
        <w:jc w:val="left"/>
        <w:rPr>
          <w:rFonts w:ascii="宋体" w:hAnsi="宋体" w:eastAsia="宋体" w:cs="宋体"/>
          <w:kern w:val="0"/>
          <w:sz w:val="24"/>
          <w:szCs w:val="24"/>
          <w:lang w:val="en-US" w:eastAsia="zh-CN" w:bidi="ar"/>
        </w:rPr>
      </w:pPr>
    </w:p>
    <w:p w14:paraId="17FC6DFD">
      <w:pPr>
        <w:keepNext w:val="0"/>
        <w:keepLines w:val="0"/>
        <w:widowControl/>
        <w:suppressLineNumbers w:val="0"/>
        <w:jc w:val="left"/>
        <w:rPr>
          <w:rFonts w:ascii="宋体" w:hAnsi="宋体" w:eastAsia="宋体" w:cs="宋体"/>
          <w:kern w:val="0"/>
          <w:sz w:val="24"/>
          <w:szCs w:val="24"/>
          <w:lang w:val="en-US" w:eastAsia="zh-CN" w:bidi="ar"/>
        </w:rPr>
      </w:pPr>
    </w:p>
    <w:p w14:paraId="1389CCD7">
      <w:pPr>
        <w:keepNext w:val="0"/>
        <w:keepLines w:val="0"/>
        <w:widowControl/>
        <w:suppressLineNumbers w:val="0"/>
        <w:jc w:val="left"/>
        <w:rPr>
          <w:rFonts w:ascii="宋体" w:hAnsi="宋体" w:eastAsia="宋体" w:cs="宋体"/>
          <w:kern w:val="0"/>
          <w:sz w:val="24"/>
          <w:szCs w:val="24"/>
          <w:lang w:val="en-US" w:eastAsia="zh-CN" w:bidi="ar"/>
        </w:rPr>
      </w:pPr>
    </w:p>
    <w:p w14:paraId="642D988E">
      <w:pPr>
        <w:keepNext w:val="0"/>
        <w:keepLines w:val="0"/>
        <w:widowControl/>
        <w:suppressLineNumbers w:val="0"/>
        <w:jc w:val="left"/>
        <w:rPr>
          <w:rFonts w:ascii="宋体" w:hAnsi="宋体" w:eastAsia="宋体" w:cs="宋体"/>
          <w:kern w:val="0"/>
          <w:sz w:val="24"/>
          <w:szCs w:val="24"/>
          <w:lang w:val="en-US" w:eastAsia="zh-CN" w:bidi="ar"/>
        </w:rPr>
      </w:pPr>
    </w:p>
    <w:p w14:paraId="1369D826">
      <w:pPr>
        <w:keepNext w:val="0"/>
        <w:keepLines w:val="0"/>
        <w:widowControl/>
        <w:suppressLineNumbers w:val="0"/>
        <w:jc w:val="left"/>
      </w:pPr>
      <w:r>
        <w:rPr>
          <w:rFonts w:ascii="宋体" w:hAnsi="宋体" w:eastAsia="宋体" w:cs="宋体"/>
          <w:kern w:val="0"/>
          <w:sz w:val="24"/>
          <w:szCs w:val="24"/>
          <w:lang w:val="en-US" w:eastAsia="zh-CN" w:bidi="ar"/>
        </w:rPr>
        <w:t>包：4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7746B7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C599F3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05C02BE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B678A70">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0FBA30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CC5A57C">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65EAA5AD">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079697E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FE092F2">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2A44F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F074BD5">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1FEF75B1">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C839B6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F55942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575556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4018AB2">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7050EE1D">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37840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44A9D8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FDFDC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8B34567">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60F0F50F">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3ACF32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7842B18">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A810A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235B63C">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22F392F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07A694C">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35F4917D">
      <w:pPr>
        <w:keepNext w:val="0"/>
        <w:keepLines w:val="0"/>
        <w:widowControl/>
        <w:suppressLineNumbers w:val="0"/>
        <w:jc w:val="left"/>
        <w:rPr>
          <w:rFonts w:ascii="宋体" w:hAnsi="宋体" w:eastAsia="宋体" w:cs="宋体"/>
          <w:kern w:val="0"/>
          <w:sz w:val="24"/>
          <w:szCs w:val="24"/>
          <w:lang w:val="en-US" w:eastAsia="zh-CN" w:bidi="ar"/>
        </w:rPr>
      </w:pPr>
    </w:p>
    <w:p w14:paraId="603902F7">
      <w:pPr>
        <w:keepNext w:val="0"/>
        <w:keepLines w:val="0"/>
        <w:widowControl/>
        <w:suppressLineNumbers w:val="0"/>
        <w:jc w:val="left"/>
        <w:rPr>
          <w:rFonts w:ascii="宋体" w:hAnsi="宋体" w:eastAsia="宋体" w:cs="宋体"/>
          <w:kern w:val="0"/>
          <w:sz w:val="24"/>
          <w:szCs w:val="24"/>
          <w:lang w:val="en-US" w:eastAsia="zh-CN" w:bidi="ar"/>
        </w:rPr>
      </w:pPr>
    </w:p>
    <w:p w14:paraId="03AEC00C">
      <w:pPr>
        <w:keepNext w:val="0"/>
        <w:keepLines w:val="0"/>
        <w:widowControl/>
        <w:suppressLineNumbers w:val="0"/>
        <w:jc w:val="left"/>
        <w:rPr>
          <w:rFonts w:ascii="宋体" w:hAnsi="宋体" w:eastAsia="宋体" w:cs="宋体"/>
          <w:kern w:val="0"/>
          <w:sz w:val="24"/>
          <w:szCs w:val="24"/>
          <w:lang w:val="en-US" w:eastAsia="zh-CN" w:bidi="ar"/>
        </w:rPr>
      </w:pPr>
    </w:p>
    <w:p w14:paraId="0B6C6100">
      <w:pPr>
        <w:keepNext w:val="0"/>
        <w:keepLines w:val="0"/>
        <w:widowControl/>
        <w:suppressLineNumbers w:val="0"/>
        <w:jc w:val="left"/>
        <w:rPr>
          <w:rFonts w:ascii="宋体" w:hAnsi="宋体" w:eastAsia="宋体" w:cs="宋体"/>
          <w:kern w:val="0"/>
          <w:sz w:val="24"/>
          <w:szCs w:val="24"/>
          <w:lang w:val="en-US" w:eastAsia="zh-CN" w:bidi="ar"/>
        </w:rPr>
      </w:pPr>
    </w:p>
    <w:p w14:paraId="4F0DFC53">
      <w:pPr>
        <w:keepNext w:val="0"/>
        <w:keepLines w:val="0"/>
        <w:widowControl/>
        <w:suppressLineNumbers w:val="0"/>
        <w:jc w:val="left"/>
        <w:rPr>
          <w:rFonts w:ascii="宋体" w:hAnsi="宋体" w:eastAsia="宋体" w:cs="宋体"/>
          <w:kern w:val="0"/>
          <w:sz w:val="24"/>
          <w:szCs w:val="24"/>
          <w:lang w:val="en-US" w:eastAsia="zh-CN" w:bidi="ar"/>
        </w:rPr>
      </w:pPr>
    </w:p>
    <w:p w14:paraId="5E8B7406">
      <w:pPr>
        <w:keepNext w:val="0"/>
        <w:keepLines w:val="0"/>
        <w:widowControl/>
        <w:suppressLineNumbers w:val="0"/>
        <w:jc w:val="left"/>
        <w:rPr>
          <w:rFonts w:ascii="宋体" w:hAnsi="宋体" w:eastAsia="宋体" w:cs="宋体"/>
          <w:kern w:val="0"/>
          <w:sz w:val="24"/>
          <w:szCs w:val="24"/>
          <w:lang w:val="en-US" w:eastAsia="zh-CN" w:bidi="ar"/>
        </w:rPr>
      </w:pPr>
    </w:p>
    <w:p w14:paraId="4DA3B01E">
      <w:pPr>
        <w:keepNext w:val="0"/>
        <w:keepLines w:val="0"/>
        <w:widowControl/>
        <w:suppressLineNumbers w:val="0"/>
        <w:jc w:val="left"/>
        <w:rPr>
          <w:rFonts w:ascii="宋体" w:hAnsi="宋体" w:eastAsia="宋体" w:cs="宋体"/>
          <w:kern w:val="0"/>
          <w:sz w:val="24"/>
          <w:szCs w:val="24"/>
          <w:lang w:val="en-US" w:eastAsia="zh-CN" w:bidi="ar"/>
        </w:rPr>
      </w:pPr>
    </w:p>
    <w:p w14:paraId="46E40D35">
      <w:pPr>
        <w:keepNext w:val="0"/>
        <w:keepLines w:val="0"/>
        <w:widowControl/>
        <w:suppressLineNumbers w:val="0"/>
        <w:jc w:val="left"/>
        <w:rPr>
          <w:rFonts w:ascii="宋体" w:hAnsi="宋体" w:eastAsia="宋体" w:cs="宋体"/>
          <w:kern w:val="0"/>
          <w:sz w:val="24"/>
          <w:szCs w:val="24"/>
          <w:lang w:val="en-US" w:eastAsia="zh-CN" w:bidi="ar"/>
        </w:rPr>
      </w:pPr>
    </w:p>
    <w:p w14:paraId="5BD1C413">
      <w:pPr>
        <w:keepNext w:val="0"/>
        <w:keepLines w:val="0"/>
        <w:widowControl/>
        <w:suppressLineNumbers w:val="0"/>
        <w:jc w:val="left"/>
        <w:rPr>
          <w:rFonts w:ascii="宋体" w:hAnsi="宋体" w:eastAsia="宋体" w:cs="宋体"/>
          <w:kern w:val="0"/>
          <w:sz w:val="24"/>
          <w:szCs w:val="24"/>
          <w:lang w:val="en-US" w:eastAsia="zh-CN" w:bidi="ar"/>
        </w:rPr>
      </w:pPr>
    </w:p>
    <w:p w14:paraId="53844791">
      <w:pPr>
        <w:keepNext w:val="0"/>
        <w:keepLines w:val="0"/>
        <w:widowControl/>
        <w:suppressLineNumbers w:val="0"/>
        <w:jc w:val="left"/>
        <w:rPr>
          <w:rFonts w:ascii="宋体" w:hAnsi="宋体" w:eastAsia="宋体" w:cs="宋体"/>
          <w:kern w:val="0"/>
          <w:sz w:val="24"/>
          <w:szCs w:val="24"/>
          <w:lang w:val="en-US" w:eastAsia="zh-CN" w:bidi="ar"/>
        </w:rPr>
      </w:pPr>
    </w:p>
    <w:p w14:paraId="4E70F575">
      <w:pPr>
        <w:keepNext w:val="0"/>
        <w:keepLines w:val="0"/>
        <w:widowControl/>
        <w:suppressLineNumbers w:val="0"/>
        <w:jc w:val="left"/>
        <w:rPr>
          <w:rFonts w:ascii="宋体" w:hAnsi="宋体" w:eastAsia="宋体" w:cs="宋体"/>
          <w:kern w:val="0"/>
          <w:sz w:val="24"/>
          <w:szCs w:val="24"/>
          <w:lang w:val="en-US" w:eastAsia="zh-CN" w:bidi="ar"/>
        </w:rPr>
      </w:pPr>
    </w:p>
    <w:p w14:paraId="6B558102">
      <w:pPr>
        <w:keepNext w:val="0"/>
        <w:keepLines w:val="0"/>
        <w:widowControl/>
        <w:suppressLineNumbers w:val="0"/>
        <w:jc w:val="left"/>
        <w:rPr>
          <w:rFonts w:ascii="宋体" w:hAnsi="宋体" w:eastAsia="宋体" w:cs="宋体"/>
          <w:kern w:val="0"/>
          <w:sz w:val="24"/>
          <w:szCs w:val="24"/>
          <w:lang w:val="en-US" w:eastAsia="zh-CN" w:bidi="ar"/>
        </w:rPr>
      </w:pPr>
    </w:p>
    <w:p w14:paraId="11389206">
      <w:pPr>
        <w:keepNext w:val="0"/>
        <w:keepLines w:val="0"/>
        <w:widowControl/>
        <w:suppressLineNumbers w:val="0"/>
        <w:jc w:val="left"/>
        <w:rPr>
          <w:rFonts w:ascii="宋体" w:hAnsi="宋体" w:eastAsia="宋体" w:cs="宋体"/>
          <w:kern w:val="0"/>
          <w:sz w:val="24"/>
          <w:szCs w:val="24"/>
          <w:lang w:val="en-US" w:eastAsia="zh-CN" w:bidi="ar"/>
        </w:rPr>
      </w:pPr>
    </w:p>
    <w:p w14:paraId="59DA9BB9">
      <w:pPr>
        <w:keepNext w:val="0"/>
        <w:keepLines w:val="0"/>
        <w:widowControl/>
        <w:suppressLineNumbers w:val="0"/>
        <w:jc w:val="left"/>
      </w:pPr>
      <w:r>
        <w:rPr>
          <w:rFonts w:ascii="宋体" w:hAnsi="宋体" w:eastAsia="宋体" w:cs="宋体"/>
          <w:kern w:val="0"/>
          <w:sz w:val="24"/>
          <w:szCs w:val="24"/>
          <w:lang w:val="en-US" w:eastAsia="zh-CN" w:bidi="ar"/>
        </w:rPr>
        <w:t>包：5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6573A40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A39DF4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E9D7F8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FC87A28">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0F19D6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E6F55F0">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000C7F1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15C3A3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8DFC87B">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E9BF2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253A41B">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4A7431DE">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372F076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B80792D">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58FB5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D9A3D6D">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06B76112">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B29107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03D3C61">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0154A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203CDA9">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FA976D1">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0FB788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8B755A0">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AE24E7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6BAF83D">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68200D5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1694349">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13883538">
      <w:pPr>
        <w:keepNext w:val="0"/>
        <w:keepLines w:val="0"/>
        <w:widowControl/>
        <w:suppressLineNumbers w:val="0"/>
        <w:jc w:val="left"/>
        <w:rPr>
          <w:rFonts w:ascii="宋体" w:hAnsi="宋体" w:eastAsia="宋体" w:cs="宋体"/>
          <w:kern w:val="0"/>
          <w:sz w:val="24"/>
          <w:szCs w:val="24"/>
          <w:lang w:val="en-US" w:eastAsia="zh-CN" w:bidi="ar"/>
        </w:rPr>
      </w:pPr>
    </w:p>
    <w:p w14:paraId="6C481EF1">
      <w:pPr>
        <w:keepNext w:val="0"/>
        <w:keepLines w:val="0"/>
        <w:widowControl/>
        <w:suppressLineNumbers w:val="0"/>
        <w:jc w:val="left"/>
        <w:rPr>
          <w:rFonts w:ascii="宋体" w:hAnsi="宋体" w:eastAsia="宋体" w:cs="宋体"/>
          <w:kern w:val="0"/>
          <w:sz w:val="24"/>
          <w:szCs w:val="24"/>
          <w:lang w:val="en-US" w:eastAsia="zh-CN" w:bidi="ar"/>
        </w:rPr>
      </w:pPr>
    </w:p>
    <w:p w14:paraId="226D4493">
      <w:pPr>
        <w:keepNext w:val="0"/>
        <w:keepLines w:val="0"/>
        <w:widowControl/>
        <w:suppressLineNumbers w:val="0"/>
        <w:jc w:val="left"/>
        <w:rPr>
          <w:rFonts w:ascii="宋体" w:hAnsi="宋体" w:eastAsia="宋体" w:cs="宋体"/>
          <w:kern w:val="0"/>
          <w:sz w:val="24"/>
          <w:szCs w:val="24"/>
          <w:lang w:val="en-US" w:eastAsia="zh-CN" w:bidi="ar"/>
        </w:rPr>
      </w:pPr>
    </w:p>
    <w:p w14:paraId="11189B34">
      <w:pPr>
        <w:keepNext w:val="0"/>
        <w:keepLines w:val="0"/>
        <w:widowControl/>
        <w:suppressLineNumbers w:val="0"/>
        <w:jc w:val="left"/>
        <w:rPr>
          <w:rFonts w:ascii="宋体" w:hAnsi="宋体" w:eastAsia="宋体" w:cs="宋体"/>
          <w:kern w:val="0"/>
          <w:sz w:val="24"/>
          <w:szCs w:val="24"/>
          <w:lang w:val="en-US" w:eastAsia="zh-CN" w:bidi="ar"/>
        </w:rPr>
      </w:pPr>
    </w:p>
    <w:p w14:paraId="1ADEB1C9">
      <w:pPr>
        <w:keepNext w:val="0"/>
        <w:keepLines w:val="0"/>
        <w:widowControl/>
        <w:suppressLineNumbers w:val="0"/>
        <w:jc w:val="left"/>
        <w:rPr>
          <w:rFonts w:ascii="宋体" w:hAnsi="宋体" w:eastAsia="宋体" w:cs="宋体"/>
          <w:kern w:val="0"/>
          <w:sz w:val="24"/>
          <w:szCs w:val="24"/>
          <w:lang w:val="en-US" w:eastAsia="zh-CN" w:bidi="ar"/>
        </w:rPr>
      </w:pPr>
    </w:p>
    <w:p w14:paraId="7C52A8E3">
      <w:pPr>
        <w:keepNext w:val="0"/>
        <w:keepLines w:val="0"/>
        <w:widowControl/>
        <w:suppressLineNumbers w:val="0"/>
        <w:jc w:val="left"/>
        <w:rPr>
          <w:rFonts w:ascii="宋体" w:hAnsi="宋体" w:eastAsia="宋体" w:cs="宋体"/>
          <w:kern w:val="0"/>
          <w:sz w:val="24"/>
          <w:szCs w:val="24"/>
          <w:lang w:val="en-US" w:eastAsia="zh-CN" w:bidi="ar"/>
        </w:rPr>
      </w:pPr>
    </w:p>
    <w:p w14:paraId="22BEC970">
      <w:pPr>
        <w:keepNext w:val="0"/>
        <w:keepLines w:val="0"/>
        <w:widowControl/>
        <w:suppressLineNumbers w:val="0"/>
        <w:jc w:val="left"/>
        <w:rPr>
          <w:rFonts w:ascii="宋体" w:hAnsi="宋体" w:eastAsia="宋体" w:cs="宋体"/>
          <w:kern w:val="0"/>
          <w:sz w:val="24"/>
          <w:szCs w:val="24"/>
          <w:lang w:val="en-US" w:eastAsia="zh-CN" w:bidi="ar"/>
        </w:rPr>
      </w:pPr>
    </w:p>
    <w:p w14:paraId="0FBF2B6B">
      <w:pPr>
        <w:keepNext w:val="0"/>
        <w:keepLines w:val="0"/>
        <w:widowControl/>
        <w:suppressLineNumbers w:val="0"/>
        <w:jc w:val="left"/>
        <w:rPr>
          <w:rFonts w:ascii="宋体" w:hAnsi="宋体" w:eastAsia="宋体" w:cs="宋体"/>
          <w:kern w:val="0"/>
          <w:sz w:val="24"/>
          <w:szCs w:val="24"/>
          <w:lang w:val="en-US" w:eastAsia="zh-CN" w:bidi="ar"/>
        </w:rPr>
      </w:pPr>
    </w:p>
    <w:p w14:paraId="1F996344">
      <w:pPr>
        <w:keepNext w:val="0"/>
        <w:keepLines w:val="0"/>
        <w:widowControl/>
        <w:suppressLineNumbers w:val="0"/>
        <w:jc w:val="left"/>
        <w:rPr>
          <w:rFonts w:ascii="宋体" w:hAnsi="宋体" w:eastAsia="宋体" w:cs="宋体"/>
          <w:kern w:val="0"/>
          <w:sz w:val="24"/>
          <w:szCs w:val="24"/>
          <w:lang w:val="en-US" w:eastAsia="zh-CN" w:bidi="ar"/>
        </w:rPr>
      </w:pPr>
    </w:p>
    <w:p w14:paraId="3E32FCC6">
      <w:pPr>
        <w:keepNext w:val="0"/>
        <w:keepLines w:val="0"/>
        <w:widowControl/>
        <w:suppressLineNumbers w:val="0"/>
        <w:jc w:val="left"/>
        <w:rPr>
          <w:rFonts w:ascii="宋体" w:hAnsi="宋体" w:eastAsia="宋体" w:cs="宋体"/>
          <w:kern w:val="0"/>
          <w:sz w:val="24"/>
          <w:szCs w:val="24"/>
          <w:lang w:val="en-US" w:eastAsia="zh-CN" w:bidi="ar"/>
        </w:rPr>
      </w:pPr>
    </w:p>
    <w:p w14:paraId="2CCDCAC2">
      <w:pPr>
        <w:keepNext w:val="0"/>
        <w:keepLines w:val="0"/>
        <w:widowControl/>
        <w:suppressLineNumbers w:val="0"/>
        <w:jc w:val="left"/>
        <w:rPr>
          <w:rFonts w:ascii="宋体" w:hAnsi="宋体" w:eastAsia="宋体" w:cs="宋体"/>
          <w:kern w:val="0"/>
          <w:sz w:val="24"/>
          <w:szCs w:val="24"/>
          <w:lang w:val="en-US" w:eastAsia="zh-CN" w:bidi="ar"/>
        </w:rPr>
      </w:pPr>
    </w:p>
    <w:p w14:paraId="7A4CAE4B">
      <w:pPr>
        <w:keepNext w:val="0"/>
        <w:keepLines w:val="0"/>
        <w:widowControl/>
        <w:suppressLineNumbers w:val="0"/>
        <w:jc w:val="left"/>
        <w:rPr>
          <w:rFonts w:ascii="宋体" w:hAnsi="宋体" w:eastAsia="宋体" w:cs="宋体"/>
          <w:kern w:val="0"/>
          <w:sz w:val="24"/>
          <w:szCs w:val="24"/>
          <w:lang w:val="en-US" w:eastAsia="zh-CN" w:bidi="ar"/>
        </w:rPr>
      </w:pPr>
    </w:p>
    <w:p w14:paraId="22797D49">
      <w:pPr>
        <w:keepNext w:val="0"/>
        <w:keepLines w:val="0"/>
        <w:widowControl/>
        <w:suppressLineNumbers w:val="0"/>
        <w:jc w:val="left"/>
        <w:rPr>
          <w:rFonts w:ascii="宋体" w:hAnsi="宋体" w:eastAsia="宋体" w:cs="宋体"/>
          <w:kern w:val="0"/>
          <w:sz w:val="24"/>
          <w:szCs w:val="24"/>
          <w:lang w:val="en-US" w:eastAsia="zh-CN" w:bidi="ar"/>
        </w:rPr>
      </w:pPr>
    </w:p>
    <w:p w14:paraId="5B911662">
      <w:pPr>
        <w:keepNext w:val="0"/>
        <w:keepLines w:val="0"/>
        <w:widowControl/>
        <w:suppressLineNumbers w:val="0"/>
        <w:jc w:val="left"/>
      </w:pPr>
      <w:r>
        <w:rPr>
          <w:rFonts w:ascii="宋体" w:hAnsi="宋体" w:eastAsia="宋体" w:cs="宋体"/>
          <w:kern w:val="0"/>
          <w:sz w:val="24"/>
          <w:szCs w:val="24"/>
          <w:lang w:val="en-US" w:eastAsia="zh-CN" w:bidi="ar"/>
        </w:rPr>
        <w:t>包：6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073CC0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11E99AC">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4569E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3BFD34E">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460207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E20A049">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5125E696">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9751F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8495B6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FD7BF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EAB1A79">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403F403E">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44D1868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C9391E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27A293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57FCADA">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1E5A01E5">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5D09F52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E3C3555">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7A9100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074335E">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50407641">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14A1EA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E09E26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8D76B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6A02F4A8">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254BCE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2A637B8">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05BCCB9C">
      <w:pPr>
        <w:keepNext w:val="0"/>
        <w:keepLines w:val="0"/>
        <w:widowControl/>
        <w:suppressLineNumbers w:val="0"/>
        <w:jc w:val="left"/>
        <w:rPr>
          <w:rFonts w:ascii="宋体" w:hAnsi="宋体" w:eastAsia="宋体" w:cs="宋体"/>
          <w:kern w:val="0"/>
          <w:sz w:val="24"/>
          <w:szCs w:val="24"/>
          <w:lang w:val="en-US" w:eastAsia="zh-CN" w:bidi="ar"/>
        </w:rPr>
      </w:pPr>
    </w:p>
    <w:p w14:paraId="25A9A103">
      <w:pPr>
        <w:keepNext w:val="0"/>
        <w:keepLines w:val="0"/>
        <w:widowControl/>
        <w:suppressLineNumbers w:val="0"/>
        <w:jc w:val="left"/>
        <w:rPr>
          <w:rFonts w:ascii="宋体" w:hAnsi="宋体" w:eastAsia="宋体" w:cs="宋体"/>
          <w:kern w:val="0"/>
          <w:sz w:val="24"/>
          <w:szCs w:val="24"/>
          <w:lang w:val="en-US" w:eastAsia="zh-CN" w:bidi="ar"/>
        </w:rPr>
      </w:pPr>
    </w:p>
    <w:p w14:paraId="7599D5C3">
      <w:pPr>
        <w:keepNext w:val="0"/>
        <w:keepLines w:val="0"/>
        <w:widowControl/>
        <w:suppressLineNumbers w:val="0"/>
        <w:jc w:val="left"/>
        <w:rPr>
          <w:rFonts w:ascii="宋体" w:hAnsi="宋体" w:eastAsia="宋体" w:cs="宋体"/>
          <w:kern w:val="0"/>
          <w:sz w:val="24"/>
          <w:szCs w:val="24"/>
          <w:lang w:val="en-US" w:eastAsia="zh-CN" w:bidi="ar"/>
        </w:rPr>
      </w:pPr>
    </w:p>
    <w:p w14:paraId="528E391F">
      <w:pPr>
        <w:keepNext w:val="0"/>
        <w:keepLines w:val="0"/>
        <w:widowControl/>
        <w:suppressLineNumbers w:val="0"/>
        <w:jc w:val="left"/>
        <w:rPr>
          <w:rFonts w:ascii="宋体" w:hAnsi="宋体" w:eastAsia="宋体" w:cs="宋体"/>
          <w:kern w:val="0"/>
          <w:sz w:val="24"/>
          <w:szCs w:val="24"/>
          <w:lang w:val="en-US" w:eastAsia="zh-CN" w:bidi="ar"/>
        </w:rPr>
      </w:pPr>
    </w:p>
    <w:p w14:paraId="1E10DF9B">
      <w:pPr>
        <w:keepNext w:val="0"/>
        <w:keepLines w:val="0"/>
        <w:widowControl/>
        <w:suppressLineNumbers w:val="0"/>
        <w:jc w:val="left"/>
        <w:rPr>
          <w:rFonts w:ascii="宋体" w:hAnsi="宋体" w:eastAsia="宋体" w:cs="宋体"/>
          <w:kern w:val="0"/>
          <w:sz w:val="24"/>
          <w:szCs w:val="24"/>
          <w:lang w:val="en-US" w:eastAsia="zh-CN" w:bidi="ar"/>
        </w:rPr>
      </w:pPr>
    </w:p>
    <w:p w14:paraId="270B86B4">
      <w:pPr>
        <w:keepNext w:val="0"/>
        <w:keepLines w:val="0"/>
        <w:widowControl/>
        <w:suppressLineNumbers w:val="0"/>
        <w:jc w:val="left"/>
        <w:rPr>
          <w:rFonts w:ascii="宋体" w:hAnsi="宋体" w:eastAsia="宋体" w:cs="宋体"/>
          <w:kern w:val="0"/>
          <w:sz w:val="24"/>
          <w:szCs w:val="24"/>
          <w:lang w:val="en-US" w:eastAsia="zh-CN" w:bidi="ar"/>
        </w:rPr>
      </w:pPr>
    </w:p>
    <w:p w14:paraId="252FB506">
      <w:pPr>
        <w:keepNext w:val="0"/>
        <w:keepLines w:val="0"/>
        <w:widowControl/>
        <w:suppressLineNumbers w:val="0"/>
        <w:jc w:val="left"/>
        <w:rPr>
          <w:rFonts w:ascii="宋体" w:hAnsi="宋体" w:eastAsia="宋体" w:cs="宋体"/>
          <w:kern w:val="0"/>
          <w:sz w:val="24"/>
          <w:szCs w:val="24"/>
          <w:lang w:val="en-US" w:eastAsia="zh-CN" w:bidi="ar"/>
        </w:rPr>
      </w:pPr>
    </w:p>
    <w:p w14:paraId="651105C4">
      <w:pPr>
        <w:keepNext w:val="0"/>
        <w:keepLines w:val="0"/>
        <w:widowControl/>
        <w:suppressLineNumbers w:val="0"/>
        <w:jc w:val="left"/>
        <w:rPr>
          <w:rFonts w:ascii="宋体" w:hAnsi="宋体" w:eastAsia="宋体" w:cs="宋体"/>
          <w:kern w:val="0"/>
          <w:sz w:val="24"/>
          <w:szCs w:val="24"/>
          <w:lang w:val="en-US" w:eastAsia="zh-CN" w:bidi="ar"/>
        </w:rPr>
      </w:pPr>
    </w:p>
    <w:p w14:paraId="34D1D904">
      <w:pPr>
        <w:keepNext w:val="0"/>
        <w:keepLines w:val="0"/>
        <w:widowControl/>
        <w:suppressLineNumbers w:val="0"/>
        <w:jc w:val="left"/>
        <w:rPr>
          <w:rFonts w:ascii="宋体" w:hAnsi="宋体" w:eastAsia="宋体" w:cs="宋体"/>
          <w:kern w:val="0"/>
          <w:sz w:val="24"/>
          <w:szCs w:val="24"/>
          <w:lang w:val="en-US" w:eastAsia="zh-CN" w:bidi="ar"/>
        </w:rPr>
      </w:pPr>
    </w:p>
    <w:p w14:paraId="476DA456">
      <w:pPr>
        <w:keepNext w:val="0"/>
        <w:keepLines w:val="0"/>
        <w:widowControl/>
        <w:suppressLineNumbers w:val="0"/>
        <w:jc w:val="left"/>
        <w:rPr>
          <w:rFonts w:ascii="宋体" w:hAnsi="宋体" w:eastAsia="宋体" w:cs="宋体"/>
          <w:kern w:val="0"/>
          <w:sz w:val="24"/>
          <w:szCs w:val="24"/>
          <w:lang w:val="en-US" w:eastAsia="zh-CN" w:bidi="ar"/>
        </w:rPr>
      </w:pPr>
    </w:p>
    <w:p w14:paraId="4F89B97B">
      <w:pPr>
        <w:keepNext w:val="0"/>
        <w:keepLines w:val="0"/>
        <w:widowControl/>
        <w:suppressLineNumbers w:val="0"/>
        <w:jc w:val="left"/>
        <w:rPr>
          <w:rFonts w:ascii="宋体" w:hAnsi="宋体" w:eastAsia="宋体" w:cs="宋体"/>
          <w:kern w:val="0"/>
          <w:sz w:val="24"/>
          <w:szCs w:val="24"/>
          <w:lang w:val="en-US" w:eastAsia="zh-CN" w:bidi="ar"/>
        </w:rPr>
      </w:pPr>
    </w:p>
    <w:p w14:paraId="2DBEF6B3">
      <w:pPr>
        <w:keepNext w:val="0"/>
        <w:keepLines w:val="0"/>
        <w:widowControl/>
        <w:suppressLineNumbers w:val="0"/>
        <w:jc w:val="left"/>
        <w:rPr>
          <w:rFonts w:ascii="宋体" w:hAnsi="宋体" w:eastAsia="宋体" w:cs="宋体"/>
          <w:kern w:val="0"/>
          <w:sz w:val="24"/>
          <w:szCs w:val="24"/>
          <w:lang w:val="en-US" w:eastAsia="zh-CN" w:bidi="ar"/>
        </w:rPr>
      </w:pPr>
    </w:p>
    <w:p w14:paraId="2F88CD5F">
      <w:pPr>
        <w:keepNext w:val="0"/>
        <w:keepLines w:val="0"/>
        <w:widowControl/>
        <w:suppressLineNumbers w:val="0"/>
        <w:jc w:val="left"/>
        <w:rPr>
          <w:rFonts w:ascii="宋体" w:hAnsi="宋体" w:eastAsia="宋体" w:cs="宋体"/>
          <w:kern w:val="0"/>
          <w:sz w:val="24"/>
          <w:szCs w:val="24"/>
          <w:lang w:val="en-US" w:eastAsia="zh-CN" w:bidi="ar"/>
        </w:rPr>
      </w:pPr>
    </w:p>
    <w:p w14:paraId="48E5FF1A">
      <w:pPr>
        <w:keepNext w:val="0"/>
        <w:keepLines w:val="0"/>
        <w:widowControl/>
        <w:suppressLineNumbers w:val="0"/>
        <w:jc w:val="left"/>
      </w:pPr>
      <w:r>
        <w:rPr>
          <w:rFonts w:ascii="宋体" w:hAnsi="宋体" w:eastAsia="宋体" w:cs="宋体"/>
          <w:kern w:val="0"/>
          <w:sz w:val="24"/>
          <w:szCs w:val="24"/>
          <w:lang w:val="en-US" w:eastAsia="zh-CN" w:bidi="ar"/>
        </w:rPr>
        <w:t>包：7 </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包一般情形</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41F8B79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877B830">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3909528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A7CCBA7">
            <w:pPr>
              <w:keepNext w:val="0"/>
              <w:keepLines w:val="0"/>
              <w:widowControl/>
              <w:suppressLineNumbers w:val="0"/>
              <w:jc w:val="left"/>
            </w:pPr>
            <w:r>
              <w:rPr>
                <w:rFonts w:ascii="宋体" w:hAnsi="宋体" w:eastAsia="宋体" w:cs="宋体"/>
                <w:kern w:val="0"/>
                <w:sz w:val="24"/>
                <w:szCs w:val="24"/>
                <w:lang w:val="en-US" w:eastAsia="zh-CN" w:bidi="ar"/>
              </w:rPr>
              <w:t>1、未按招标文件规定提交投标样品的将被视为无效投标。</w:t>
            </w:r>
          </w:p>
        </w:tc>
      </w:tr>
      <w:tr w14:paraId="3DB29D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2BFED143">
            <w:pPr>
              <w:keepNext w:val="0"/>
              <w:keepLines w:val="0"/>
              <w:widowControl/>
              <w:suppressLineNumbers w:val="0"/>
              <w:jc w:val="left"/>
            </w:pPr>
            <w:r>
              <w:rPr>
                <w:rFonts w:ascii="宋体" w:hAnsi="宋体" w:eastAsia="宋体" w:cs="宋体"/>
                <w:kern w:val="0"/>
                <w:sz w:val="24"/>
                <w:szCs w:val="24"/>
                <w:lang w:val="en-US" w:eastAsia="zh-CN" w:bidi="ar"/>
              </w:rPr>
              <w:t>2、投标人开标时须携带本项目所有检测报告原件(检测报告上委托方需为投标人名称)，如在评审过程中评标小组需要核查原件的，投标人须在30分钟内将检测报告原件提供给评标小组核查，未能提供检测报告原件或超过本项规定时间的，视为投标无效。</w:t>
            </w:r>
          </w:p>
        </w:tc>
      </w:tr>
    </w:tbl>
    <w:p w14:paraId="09C79AC3">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技术符合性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0B19EA3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DBBFA6A">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7DFC0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532D06C">
            <w:pPr>
              <w:keepNext w:val="0"/>
              <w:keepLines w:val="0"/>
              <w:widowControl/>
              <w:suppressLineNumbers w:val="0"/>
              <w:jc w:val="left"/>
            </w:pPr>
            <w:r>
              <w:rPr>
                <w:rFonts w:ascii="宋体" w:hAnsi="宋体" w:eastAsia="宋体" w:cs="宋体"/>
                <w:kern w:val="0"/>
                <w:sz w:val="24"/>
                <w:szCs w:val="24"/>
                <w:lang w:val="en-US" w:eastAsia="zh-CN" w:bidi="ar"/>
              </w:rPr>
              <w:t>1、按照闽财购〔2010〕28号文件规定，若投标人的技术部分实际得分少于招标文件设定的技术部分总分50%（不含27.5分），即视为技术部分未实质性响应招标文件要求，按无效投标处理。</w:t>
            </w:r>
          </w:p>
        </w:tc>
      </w:tr>
    </w:tbl>
    <w:p w14:paraId="17ADE49E">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商务符合性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6FED64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377C9BD4">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15997C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03BB301F">
            <w:pPr>
              <w:keepNext w:val="0"/>
              <w:keepLines w:val="0"/>
              <w:widowControl/>
              <w:suppressLineNumbers w:val="0"/>
              <w:jc w:val="left"/>
            </w:pPr>
            <w:r>
              <w:rPr>
                <w:rFonts w:ascii="宋体" w:hAnsi="宋体" w:eastAsia="宋体" w:cs="宋体"/>
                <w:kern w:val="0"/>
                <w:sz w:val="24"/>
                <w:szCs w:val="24"/>
                <w:lang w:val="en-US" w:eastAsia="zh-CN" w:bidi="ar"/>
              </w:rPr>
              <w:t>1、交付地点、交付时间、交付条件、验收方式、支付方式、保修期等有不满足招标文件商务条件要求的，按无效投标处理。</w:t>
            </w:r>
          </w:p>
        </w:tc>
      </w:tr>
    </w:tbl>
    <w:p w14:paraId="34544076">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附加符合性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901299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E7D26C6">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420AB8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42560082">
            <w:pPr>
              <w:keepNext w:val="0"/>
              <w:keepLines w:val="0"/>
              <w:widowControl/>
              <w:suppressLineNumbers w:val="0"/>
              <w:jc w:val="left"/>
            </w:pPr>
            <w:r>
              <w:rPr>
                <w:rFonts w:ascii="宋体" w:hAnsi="宋体" w:eastAsia="宋体" w:cs="宋体"/>
                <w:kern w:val="0"/>
                <w:sz w:val="24"/>
                <w:szCs w:val="24"/>
                <w:lang w:val="en-US" w:eastAsia="zh-CN" w:bidi="ar"/>
              </w:rPr>
              <w:t>无</w:t>
            </w:r>
          </w:p>
        </w:tc>
      </w:tr>
    </w:tbl>
    <w:p w14:paraId="6C35C835">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t>价格符合性</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8322"/>
      </w:tblGrid>
      <w:tr w14:paraId="205A2D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5E603253">
            <w:pPr>
              <w:keepNext w:val="0"/>
              <w:keepLines w:val="0"/>
              <w:widowControl/>
              <w:suppressLineNumbers w:val="0"/>
              <w:jc w:val="center"/>
              <w:rPr>
                <w:b/>
              </w:rPr>
            </w:pPr>
            <w:r>
              <w:rPr>
                <w:rFonts w:ascii="宋体" w:hAnsi="宋体" w:eastAsia="宋体" w:cs="宋体"/>
                <w:b/>
                <w:kern w:val="0"/>
                <w:sz w:val="24"/>
                <w:szCs w:val="24"/>
                <w:lang w:val="en-US" w:eastAsia="zh-CN" w:bidi="ar"/>
              </w:rPr>
              <w:t>明细</w:t>
            </w:r>
          </w:p>
        </w:tc>
      </w:tr>
      <w:tr w14:paraId="6346F75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1D1686C3">
            <w:pPr>
              <w:keepNext w:val="0"/>
              <w:keepLines w:val="0"/>
              <w:widowControl/>
              <w:suppressLineNumbers w:val="0"/>
              <w:jc w:val="left"/>
            </w:pPr>
            <w:r>
              <w:rPr>
                <w:rFonts w:ascii="宋体" w:hAnsi="宋体" w:eastAsia="宋体" w:cs="宋体"/>
                <w:kern w:val="0"/>
                <w:sz w:val="24"/>
                <w:szCs w:val="24"/>
                <w:lang w:val="en-US" w:eastAsia="zh-CN" w:bidi="ar"/>
              </w:rPr>
              <w:t>1、投标供应商的报价超过最高限价的；</w:t>
            </w:r>
          </w:p>
        </w:tc>
      </w:tr>
      <w:tr w14:paraId="09A5E8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8322" w:type="dxa"/>
            <w:tcBorders>
              <w:top w:val="outset" w:color="auto" w:sz="6" w:space="0"/>
              <w:left w:val="outset" w:color="auto" w:sz="6" w:space="0"/>
              <w:bottom w:val="outset" w:color="auto" w:sz="6" w:space="0"/>
              <w:right w:val="outset" w:color="auto" w:sz="6" w:space="0"/>
            </w:tcBorders>
            <w:shd w:val="clear" w:color="auto" w:fill="auto"/>
            <w:vAlign w:val="center"/>
          </w:tcPr>
          <w:p w14:paraId="7746736F">
            <w:pPr>
              <w:keepNext w:val="0"/>
              <w:keepLines w:val="0"/>
              <w:widowControl/>
              <w:suppressLineNumbers w:val="0"/>
              <w:jc w:val="left"/>
            </w:pPr>
            <w:r>
              <w:rPr>
                <w:rFonts w:ascii="宋体" w:hAnsi="宋体" w:eastAsia="宋体" w:cs="宋体"/>
                <w:kern w:val="0"/>
                <w:sz w:val="24"/>
                <w:szCs w:val="24"/>
                <w:lang w:val="en-US" w:eastAsia="zh-CN" w:bidi="ar"/>
              </w:rPr>
              <w:t>2、投标供应商的报价明显低于其他报价，使得其投标报价可能低于其个别成本的，有可能影响商品质量或不能诚信履约的，但不能合理说明原因或不能提供相关证明材料的；</w:t>
            </w:r>
          </w:p>
        </w:tc>
      </w:tr>
    </w:tbl>
    <w:p w14:paraId="73010237">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17A9F8E8">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6DB91261">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72346499">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39567F23">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58D558F5">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574A57E6">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70A3694E">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0D528041">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21DE0813">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5A03DD54">
      <w:pPr>
        <w:pStyle w:val="5"/>
        <w:keepNext w:val="0"/>
        <w:keepLines w:val="0"/>
        <w:widowControl/>
        <w:suppressLineNumbers w:val="0"/>
        <w:spacing w:before="75" w:beforeAutospacing="0" w:after="75" w:afterAutospacing="0"/>
        <w:ind w:left="0" w:right="0" w:firstLine="480"/>
        <w:rPr>
          <w:rFonts w:hint="eastAsia" w:ascii="宋体" w:hAnsi="宋体" w:eastAsia="宋体" w:cs="宋体"/>
          <w:spacing w:val="0"/>
          <w:sz w:val="24"/>
          <w:szCs w:val="24"/>
        </w:rPr>
      </w:pPr>
    </w:p>
    <w:p w14:paraId="2757243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6.3澄清有关问题</w:t>
      </w:r>
    </w:p>
    <w:p w14:paraId="294C1FA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20"/>
        <w:textAlignment w:val="auto"/>
      </w:pPr>
      <w:r>
        <w:rPr>
          <w:rFonts w:hint="eastAsia" w:ascii="宋体" w:hAnsi="宋体" w:eastAsia="宋体" w:cs="宋体"/>
          <w:spacing w:val="0"/>
          <w:sz w:val="24"/>
          <w:szCs w:val="24"/>
        </w:rPr>
        <w:t>（1）对通过符合性审查的投标文件中含义不明确、同类问题表述不一致或有明显文字和计算错误的内容，评标委员会将以书面形式要求投标人作出必要的澄清、说明或补正。</w:t>
      </w:r>
    </w:p>
    <w:p w14:paraId="09D0EE3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20"/>
        <w:textAlignment w:val="auto"/>
      </w:pPr>
      <w:r>
        <w:rPr>
          <w:rFonts w:hint="eastAsia" w:ascii="宋体" w:hAnsi="宋体" w:eastAsia="宋体" w:cs="宋体"/>
          <w:spacing w:val="0"/>
          <w:sz w:val="24"/>
          <w:szCs w:val="24"/>
        </w:rPr>
        <w:t>（2）投标人的澄清、说明或补正应由投标人代表在评标委员会规定的时间内（一般在半个小时左右，具体要求将根据实际情况在澄清通知中约定）以书面形式向评标委员会提交，前述澄清、说明或补正不得超出投标文件的范围或改变投标文件的实质性内容。若投标人未按照前述规定向评标委员会提交书面澄清、说明或补正，则评标委员会将按照不利于投标人的内容进行认定。</w:t>
      </w:r>
    </w:p>
    <w:p w14:paraId="587E345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（3）投标文件报价出现前后不一致的，除招标文件另有规定外，按照下列规定修正：</w:t>
      </w:r>
    </w:p>
    <w:p w14:paraId="4AC8A0C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①开标一览表内容与投标文件中相应内容不一致的，以开标一览表为准；</w:t>
      </w:r>
    </w:p>
    <w:p w14:paraId="38D836C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②大写金额和小写金额不一致的，以大写金额为准；</w:t>
      </w:r>
    </w:p>
    <w:p w14:paraId="28CC5323">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③单价金额小数点或百分比有明显错位的，以开标一览表的总价为准，并修改单价；</w:t>
      </w:r>
    </w:p>
    <w:p w14:paraId="6FB0D0BD">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④总价金额与按照单价汇总金额不一致的，以单价金额计算结果为准。</w:t>
      </w:r>
    </w:p>
    <w:p w14:paraId="334B250D">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Style w:val="8"/>
          <w:rFonts w:hint="eastAsia" w:ascii="宋体" w:hAnsi="宋体" w:eastAsia="宋体" w:cs="宋体"/>
          <w:b/>
          <w:spacing w:val="0"/>
          <w:sz w:val="24"/>
          <w:szCs w:val="24"/>
        </w:rPr>
        <w:t>※同时出现两种以上不一致的，按照前款规定的顺序修正。修正后的报价应按照本章第</w:t>
      </w:r>
      <w:r>
        <w:rPr>
          <w:rStyle w:val="8"/>
          <w:rFonts w:hint="default" w:ascii="Calibri" w:hAnsi="Calibri" w:cs="Calibri"/>
          <w:b/>
          <w:spacing w:val="0"/>
          <w:sz w:val="24"/>
          <w:szCs w:val="24"/>
        </w:rPr>
        <w:t>6.3</w:t>
      </w:r>
      <w:r>
        <w:rPr>
          <w:rStyle w:val="8"/>
          <w:rFonts w:hint="eastAsia" w:ascii="宋体" w:hAnsi="宋体" w:eastAsia="宋体" w:cs="宋体"/>
          <w:b/>
          <w:spacing w:val="0"/>
          <w:sz w:val="24"/>
          <w:szCs w:val="24"/>
        </w:rPr>
        <w:t>条第（</w:t>
      </w:r>
      <w:r>
        <w:rPr>
          <w:rStyle w:val="8"/>
          <w:rFonts w:hint="default" w:ascii="Calibri" w:hAnsi="Calibri" w:cs="Calibri"/>
          <w:b/>
          <w:spacing w:val="0"/>
          <w:sz w:val="24"/>
          <w:szCs w:val="24"/>
        </w:rPr>
        <w:t>1</w:t>
      </w:r>
      <w:r>
        <w:rPr>
          <w:rStyle w:val="8"/>
          <w:rFonts w:hint="eastAsia" w:ascii="宋体" w:hAnsi="宋体" w:eastAsia="宋体" w:cs="宋体"/>
          <w:b/>
          <w:spacing w:val="0"/>
          <w:sz w:val="24"/>
          <w:szCs w:val="24"/>
        </w:rPr>
        <w:t>）、（</w:t>
      </w:r>
      <w:r>
        <w:rPr>
          <w:rStyle w:val="8"/>
          <w:rFonts w:hint="default" w:ascii="Calibri" w:hAnsi="Calibri" w:cs="Calibri"/>
          <w:b/>
          <w:spacing w:val="0"/>
          <w:sz w:val="24"/>
          <w:szCs w:val="24"/>
        </w:rPr>
        <w:t>2</w:t>
      </w:r>
      <w:r>
        <w:rPr>
          <w:rStyle w:val="8"/>
          <w:rFonts w:hint="eastAsia" w:ascii="宋体" w:hAnsi="宋体" w:eastAsia="宋体" w:cs="宋体"/>
          <w:b/>
          <w:spacing w:val="0"/>
          <w:sz w:val="24"/>
          <w:szCs w:val="24"/>
        </w:rPr>
        <w:t>）款规定经投标人确认后产生约束力，投标人不确认的，其投标无效。</w:t>
      </w:r>
    </w:p>
    <w:p w14:paraId="54916F7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（4）关于细微偏差</w:t>
      </w:r>
    </w:p>
    <w:p w14:paraId="3005AF6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细微偏差指投标文件实质性响应招标文件要求，但在个别地方存在漏项或提供了不完整的技术信息和数据等情况，并且补正这些遗漏或不完整不会对其他投标人造成不公平的结果。细微偏差不影响投标文件的有效性。</w:t>
      </w:r>
    </w:p>
    <w:p w14:paraId="1CC6227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②评标委员会将以书面形式要求存在细微偏差的投标人在评标委员会规定的时间内予以补正。若无法补正，则评标委员会将按照不利于投标人的内容进行认定。</w:t>
      </w:r>
    </w:p>
    <w:p w14:paraId="3C183753">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（5）关于投标描述（即投标文件中描述的内容）</w:t>
      </w:r>
    </w:p>
    <w:p w14:paraId="5B8B2B6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①投标描述前后不一致且不涉及证明材料的：按照本章第</w:t>
      </w:r>
      <w:r>
        <w:rPr>
          <w:rFonts w:hint="default" w:ascii="Calibri" w:hAnsi="Calibri" w:cs="Calibri"/>
          <w:spacing w:val="0"/>
          <w:sz w:val="24"/>
          <w:szCs w:val="24"/>
        </w:rPr>
        <w:t>6.3</w:t>
      </w:r>
      <w:r>
        <w:rPr>
          <w:rFonts w:hint="eastAsia" w:ascii="宋体" w:hAnsi="宋体" w:eastAsia="宋体" w:cs="宋体"/>
          <w:spacing w:val="0"/>
          <w:sz w:val="24"/>
          <w:szCs w:val="24"/>
        </w:rPr>
        <w:t>条第（</w:t>
      </w:r>
      <w:r>
        <w:rPr>
          <w:rFonts w:hint="default" w:ascii="Calibri" w:hAnsi="Calibri" w:cs="Calibri"/>
          <w:spacing w:val="0"/>
          <w:sz w:val="24"/>
          <w:szCs w:val="24"/>
        </w:rPr>
        <w:t>1</w:t>
      </w:r>
      <w:r>
        <w:rPr>
          <w:rFonts w:hint="eastAsia" w:ascii="宋体" w:hAnsi="宋体" w:eastAsia="宋体" w:cs="宋体"/>
          <w:spacing w:val="0"/>
          <w:sz w:val="24"/>
          <w:szCs w:val="24"/>
        </w:rPr>
        <w:t>）、（</w:t>
      </w:r>
      <w:r>
        <w:rPr>
          <w:rFonts w:hint="default" w:ascii="Calibri" w:hAnsi="Calibri" w:cs="Calibri"/>
          <w:spacing w:val="0"/>
          <w:sz w:val="24"/>
          <w:szCs w:val="24"/>
        </w:rPr>
        <w:t>2</w:t>
      </w:r>
      <w:r>
        <w:rPr>
          <w:rFonts w:hint="eastAsia" w:ascii="宋体" w:hAnsi="宋体" w:eastAsia="宋体" w:cs="宋体"/>
          <w:spacing w:val="0"/>
          <w:sz w:val="24"/>
          <w:szCs w:val="24"/>
        </w:rPr>
        <w:t>）款规定执行。</w:t>
      </w:r>
    </w:p>
    <w:p w14:paraId="6690ED9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②投标描述与证明材料不一致或多份证明材料之间不一致的：</w:t>
      </w:r>
    </w:p>
    <w:p w14:paraId="32929BF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a.评标委员会将要求投标人进行书面澄清，并按照不利于投标人的内容进行评标。</w:t>
      </w:r>
    </w:p>
    <w:p w14:paraId="1F90EEE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b.投标人按照要求进行澄清的，采购人以澄清内容为准进行验收；投标人未按照要求进行澄清的，采购人以投标描述或证明材料中有利于采购人的内容进行验收。投标人应对证明材料的真实性、有效性承担责任。</w:t>
      </w:r>
    </w:p>
    <w:p w14:paraId="136BD116">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若中标人的投标描述存在前后不一致、与证明材料不一致或多份证明材料之间不一致情形之一但在评标中未能发现，则采购人将以投标描述或证明材料中有利于采购人的内容进行验收，中标人应自行承担由此产生的风险及费用。</w:t>
      </w:r>
    </w:p>
    <w:p w14:paraId="66BDA9C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6.4比较与评价</w:t>
      </w:r>
    </w:p>
    <w:p w14:paraId="2A79B41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（1）按照本章第</w:t>
      </w:r>
      <w:r>
        <w:rPr>
          <w:rFonts w:hint="default" w:ascii="Calibri" w:hAnsi="Calibri" w:cs="Calibri"/>
          <w:spacing w:val="0"/>
          <w:sz w:val="24"/>
          <w:szCs w:val="24"/>
        </w:rPr>
        <w:t>7</w:t>
      </w:r>
      <w:r>
        <w:rPr>
          <w:rFonts w:hint="eastAsia" w:ascii="宋体" w:hAnsi="宋体" w:eastAsia="宋体" w:cs="宋体"/>
          <w:spacing w:val="0"/>
          <w:sz w:val="24"/>
          <w:szCs w:val="24"/>
        </w:rPr>
        <w:t>条载明的评标方法和标准，对符合性审查合格的投标文件进行比较与评价。</w:t>
      </w:r>
    </w:p>
    <w:p w14:paraId="4E89D04C">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（2）关于相同品牌产品</w:t>
      </w:r>
      <w:r>
        <w:rPr>
          <w:rStyle w:val="8"/>
          <w:rFonts w:hint="eastAsia" w:ascii="宋体" w:hAnsi="宋体" w:eastAsia="宋体" w:cs="宋体"/>
          <w:b/>
          <w:spacing w:val="0"/>
          <w:sz w:val="24"/>
          <w:szCs w:val="24"/>
        </w:rPr>
        <w:t>（政府采购服务类项目不适用本条款规定）</w:t>
      </w:r>
    </w:p>
    <w:p w14:paraId="726F02B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采用最低评标价法的，提供相同品牌产品的不同投标人参加同一合同项下投标的，以其中通过资格审查、符合性审查且报价最低的参加评标；报价相同的，由评标委员会按照下列方式确定一个参加评标的投标人：</w:t>
      </w:r>
    </w:p>
    <w:p w14:paraId="63059A31">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14:paraId="1AA0750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b.招标文件未规定的，采取随机抽取方式确定，其他</w:t>
      </w:r>
      <w:r>
        <w:rPr>
          <w:rStyle w:val="8"/>
          <w:rFonts w:hint="eastAsia" w:ascii="宋体" w:hAnsi="宋体" w:eastAsia="宋体" w:cs="宋体"/>
          <w:b/>
          <w:spacing w:val="0"/>
          <w:sz w:val="24"/>
          <w:szCs w:val="24"/>
        </w:rPr>
        <w:t>投标无效。</w:t>
      </w:r>
    </w:p>
    <w:p w14:paraId="6C9001F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采用综合评分法的，提供相同品牌产品且通过资格审查、符合性审查的不同投标人参加同一合同项下投标的，按一家投标人计算，评审后得分最高的同品牌投标人作为中标候选人推荐；评审得分相同的，由评标委员会按照下列方式确定一个投标人作为中标候选人推荐：</w:t>
      </w:r>
    </w:p>
    <w:p w14:paraId="5BDCA8E4">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a.招标文件规定的方式：</w:t>
      </w:r>
      <w:r>
        <w:rPr>
          <w:spacing w:val="0"/>
          <w:sz w:val="24"/>
          <w:szCs w:val="24"/>
          <w:u w:val="single"/>
        </w:rPr>
        <w:t>无</w:t>
      </w:r>
      <w:r>
        <w:rPr>
          <w:rFonts w:hint="eastAsia" w:ascii="宋体" w:hAnsi="宋体" w:eastAsia="宋体" w:cs="宋体"/>
          <w:spacing w:val="0"/>
          <w:sz w:val="24"/>
          <w:szCs w:val="24"/>
        </w:rPr>
        <w:t>。</w:t>
      </w:r>
    </w:p>
    <w:p w14:paraId="7765D92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b.招标文件未规定的，采取随机抽取方式确定，其他同品牌投标人不作为中标候选人。</w:t>
      </w:r>
    </w:p>
    <w:p w14:paraId="45E1284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③非单一产品采购项目，多家投标人提供的核心产品品牌相同的，按照本章第</w:t>
      </w:r>
      <w:r>
        <w:rPr>
          <w:rFonts w:hint="default" w:ascii="Calibri" w:hAnsi="Calibri" w:cs="Calibri"/>
          <w:spacing w:val="0"/>
          <w:sz w:val="24"/>
          <w:szCs w:val="24"/>
        </w:rPr>
        <w:t>6.4</w:t>
      </w:r>
      <w:r>
        <w:rPr>
          <w:rFonts w:hint="eastAsia" w:ascii="宋体" w:hAnsi="宋体" w:eastAsia="宋体" w:cs="宋体"/>
          <w:spacing w:val="0"/>
          <w:sz w:val="24"/>
          <w:szCs w:val="24"/>
        </w:rPr>
        <w:t>条第（</w:t>
      </w:r>
      <w:r>
        <w:rPr>
          <w:rFonts w:hint="default" w:ascii="Calibri" w:hAnsi="Calibri" w:cs="Calibri"/>
          <w:spacing w:val="0"/>
          <w:sz w:val="24"/>
          <w:szCs w:val="24"/>
        </w:rPr>
        <w:t>2</w:t>
      </w:r>
      <w:r>
        <w:rPr>
          <w:rFonts w:hint="eastAsia" w:ascii="宋体" w:hAnsi="宋体" w:eastAsia="宋体" w:cs="宋体"/>
          <w:spacing w:val="0"/>
          <w:sz w:val="24"/>
          <w:szCs w:val="24"/>
        </w:rPr>
        <w:t>）款第①、②规定处理。</w:t>
      </w:r>
    </w:p>
    <w:p w14:paraId="6526A54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（3）漏（缺）项</w:t>
      </w:r>
    </w:p>
    <w:p w14:paraId="7CA0323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①招标文件中要求列入报价的费用（含配置、功能），漏（缺）项的报价视为已经包括在投标总价中。</w:t>
      </w:r>
    </w:p>
    <w:p w14:paraId="6627ACC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②对多报项及赠送项的价格评标时不予核减，全部进入评标价评议。</w:t>
      </w:r>
    </w:p>
    <w:p w14:paraId="3D3E2F5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6.5推荐中标候选人：详见本章第</w:t>
      </w:r>
      <w:r>
        <w:rPr>
          <w:rFonts w:hint="default" w:ascii="Calibri" w:hAnsi="Calibri" w:cs="Calibri"/>
          <w:spacing w:val="0"/>
          <w:sz w:val="24"/>
          <w:szCs w:val="24"/>
        </w:rPr>
        <w:t>7.2</w:t>
      </w:r>
      <w:r>
        <w:rPr>
          <w:rFonts w:hint="eastAsia" w:ascii="宋体" w:hAnsi="宋体" w:eastAsia="宋体" w:cs="宋体"/>
          <w:spacing w:val="0"/>
          <w:sz w:val="24"/>
          <w:szCs w:val="24"/>
        </w:rPr>
        <w:t>条规定。</w:t>
      </w:r>
    </w:p>
    <w:p w14:paraId="3FE655A3">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6.6编写评标报告</w:t>
      </w:r>
    </w:p>
    <w:p w14:paraId="424C666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（1）评标报告由评标委员会负责编写。</w:t>
      </w:r>
    </w:p>
    <w:p w14:paraId="4E3E1227">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（2）评标报告应包括下列内容：</w:t>
      </w:r>
    </w:p>
    <w:p w14:paraId="11B11AE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①招标公告刊登的媒体名称、开标日期和地点；</w:t>
      </w:r>
    </w:p>
    <w:p w14:paraId="5C493334">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②投标人名单和评标委员会成员名单；</w:t>
      </w:r>
    </w:p>
    <w:p w14:paraId="2665C8F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③评标方法和标准；</w:t>
      </w:r>
    </w:p>
    <w:p w14:paraId="2837569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④开标记录和评标情况及说明，包括无效投标人名单及原因；</w:t>
      </w:r>
    </w:p>
    <w:p w14:paraId="731DC53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⑤评标结果，包括中标候选人名单或确定的中标人；</w:t>
      </w:r>
    </w:p>
    <w:p w14:paraId="59B08A2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⑥其他需要说明的情况，包括但不限于：评标过程中投标人的澄清、说明或补正，评委更换等。</w:t>
      </w:r>
    </w:p>
    <w:p w14:paraId="4B72AE9A">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6.7评标委员会认为投标人的报价明显低于其他通过符合性审查投标人的报价，有可能影响产品质量或不能诚信履约的，应要求其在评标现场合理的时间内提供书面说明，必要时还应要求其一并提交有关证明材料；投标人不能证明其报价合理性的，评标委员会应将其作为</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处理。</w:t>
      </w:r>
    </w:p>
    <w:p w14:paraId="59CE251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6.8评委对需要共同认定的事项存在争议的，应按照少数服从多数的原则进行认定。</w:t>
      </w:r>
      <w:r>
        <w:rPr>
          <w:rStyle w:val="8"/>
          <w:rFonts w:hint="eastAsia" w:ascii="宋体" w:hAnsi="宋体" w:eastAsia="宋体" w:cs="宋体"/>
          <w:b/>
          <w:spacing w:val="0"/>
          <w:sz w:val="24"/>
          <w:szCs w:val="24"/>
        </w:rPr>
        <w:t>持不同意见的评委应在评标报告上签署不同意见及理由，否则视为同意评标报告。</w:t>
      </w:r>
    </w:p>
    <w:p w14:paraId="023CA27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6.9在评标过程中发现投标人有下列情形之一的，评标委员会应认定其</w:t>
      </w:r>
      <w:r>
        <w:rPr>
          <w:rStyle w:val="8"/>
          <w:rFonts w:hint="eastAsia" w:ascii="宋体" w:hAnsi="宋体" w:eastAsia="宋体" w:cs="宋体"/>
          <w:b/>
          <w:spacing w:val="0"/>
          <w:sz w:val="24"/>
          <w:szCs w:val="24"/>
        </w:rPr>
        <w:t>投标无效</w:t>
      </w:r>
      <w:r>
        <w:rPr>
          <w:rFonts w:hint="eastAsia" w:ascii="宋体" w:hAnsi="宋体" w:eastAsia="宋体" w:cs="宋体"/>
          <w:spacing w:val="0"/>
          <w:sz w:val="24"/>
          <w:szCs w:val="24"/>
        </w:rPr>
        <w:t>，并书面报告本项目监督管理部门：</w:t>
      </w:r>
    </w:p>
    <w:p w14:paraId="221599D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（1）恶意串通（包括但不限于招标文件第三章第</w:t>
      </w:r>
      <w:r>
        <w:rPr>
          <w:rFonts w:hint="default" w:ascii="Calibri" w:hAnsi="Calibri" w:cs="Calibri"/>
          <w:spacing w:val="0"/>
          <w:sz w:val="24"/>
          <w:szCs w:val="24"/>
        </w:rPr>
        <w:t>9.7</w:t>
      </w:r>
      <w:r>
        <w:rPr>
          <w:rFonts w:hint="eastAsia" w:ascii="宋体" w:hAnsi="宋体" w:eastAsia="宋体" w:cs="宋体"/>
          <w:spacing w:val="0"/>
          <w:sz w:val="24"/>
          <w:szCs w:val="24"/>
        </w:rPr>
        <w:t>条规定情形）；</w:t>
      </w:r>
    </w:p>
    <w:p w14:paraId="08C93E8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（2）妨碍其他投标人的竞争行为；</w:t>
      </w:r>
    </w:p>
    <w:p w14:paraId="0AF3C14B">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（3）损害采购人或其他投标人的合法权益。</w:t>
      </w:r>
    </w:p>
    <w:p w14:paraId="2031A732">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6.10评标过程中，有下列情形之一的，应予废标：</w:t>
      </w:r>
    </w:p>
    <w:p w14:paraId="448B9E3E">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（1）符合性审查合格的投标人不足三家的；</w:t>
      </w:r>
    </w:p>
    <w:p w14:paraId="0F1144C8">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Fonts w:hint="eastAsia" w:ascii="宋体" w:hAnsi="宋体" w:eastAsia="宋体" w:cs="宋体"/>
          <w:spacing w:val="0"/>
          <w:sz w:val="24"/>
          <w:szCs w:val="24"/>
        </w:rPr>
        <w:t>（2）有关法律、法规和规章规定废标的情形。</w:t>
      </w:r>
    </w:p>
    <w:p w14:paraId="5680BB5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480"/>
        <w:textAlignment w:val="auto"/>
      </w:pPr>
      <w:r>
        <w:rPr>
          <w:rStyle w:val="8"/>
          <w:rFonts w:hint="eastAsia" w:ascii="宋体" w:hAnsi="宋体" w:eastAsia="宋体" w:cs="宋体"/>
          <w:b/>
          <w:spacing w:val="0"/>
          <w:sz w:val="24"/>
          <w:szCs w:val="24"/>
        </w:rPr>
        <w:t>※若废标，则本次采购活动结束，</w:t>
      </w:r>
      <w:r>
        <w:rPr>
          <w:rFonts w:hint="eastAsia" w:ascii="宋体" w:hAnsi="宋体" w:eastAsia="宋体" w:cs="宋体"/>
          <w:spacing w:val="0"/>
          <w:sz w:val="24"/>
          <w:szCs w:val="24"/>
          <w:u w:val="single"/>
        </w:rPr>
        <w:t>福建省顺鑫招标代理有限公司</w:t>
      </w:r>
      <w:r>
        <w:rPr>
          <w:rStyle w:val="8"/>
          <w:rFonts w:hint="eastAsia" w:ascii="宋体" w:hAnsi="宋体" w:eastAsia="宋体" w:cs="宋体"/>
          <w:b/>
          <w:spacing w:val="0"/>
          <w:sz w:val="24"/>
          <w:szCs w:val="24"/>
        </w:rPr>
        <w:t>将依法组织后续采购活动（包括但不限于：重新招标、采用其他方式采购等）。</w:t>
      </w:r>
    </w:p>
    <w:p w14:paraId="11AC721C">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7、评标方法和标准</w:t>
      </w:r>
    </w:p>
    <w:p w14:paraId="5D71326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7.1评标方法：</w:t>
      </w:r>
      <w:r>
        <w:rPr>
          <w:spacing w:val="0"/>
          <w:sz w:val="24"/>
          <w:szCs w:val="24"/>
        </w:rPr>
        <w:t> 合同包1,合同包2,合同包3,合同包4,合同包5,合同包6,合同包7采用综合评分法。</w:t>
      </w:r>
    </w:p>
    <w:p w14:paraId="0BECE02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192" w:lineRule="auto"/>
        <w:ind w:left="0" w:right="0" w:firstLine="0"/>
        <w:textAlignment w:val="auto"/>
      </w:pPr>
      <w:r>
        <w:rPr>
          <w:rFonts w:hint="eastAsia" w:ascii="宋体" w:hAnsi="宋体" w:eastAsia="宋体" w:cs="宋体"/>
          <w:spacing w:val="0"/>
          <w:sz w:val="24"/>
          <w:szCs w:val="24"/>
        </w:rPr>
        <w:t>7.2评标标准</w:t>
      </w:r>
    </w:p>
    <w:p w14:paraId="6215388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2E62DF3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A9FDC0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D6F5D5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078E86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733952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6AFEAD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9B66D1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7EE22A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47C3F2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E5EC14A">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18AAA6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086CB3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44E4A5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A13675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8C0579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690A0A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13CE63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DD8852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0479FFC">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合同包1采用综合评分法</w:t>
      </w:r>
      <w:r>
        <w:rPr>
          <w:rFonts w:hint="eastAsia" w:ascii="宋体" w:hAnsi="宋体" w:eastAsia="宋体" w:cs="宋体"/>
          <w:color w:val="393939"/>
          <w:sz w:val="24"/>
          <w:szCs w:val="24"/>
          <w:shd w:val="clear" w:fill="FFFFFF"/>
        </w:rPr>
        <w:t>：</w:t>
      </w:r>
    </w:p>
    <w:p w14:paraId="37679590">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1815BCA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54CD847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208C9A6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8BF6CC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41FDF9F3">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639687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5B73E108">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2FAC80CD">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230DA5C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244B046C">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1F007BC2">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1F3BF00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738C8E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B895C91">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3B968C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A21D53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981A15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AB806A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5F6D10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05DC20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45F3BE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1E39F9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648822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1A14E7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4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21"/>
        <w:gridCol w:w="1050"/>
        <w:gridCol w:w="6069"/>
      </w:tblGrid>
      <w:tr w14:paraId="744108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575" w:hRule="atLeast"/>
          <w:tblHeader/>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7715AD58">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3BDE6934">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462BCC9F">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6A223C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60"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07245D73">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40648B0F">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3B89A359">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1：“棉大衣”参数要求的逐项响应、承诺的情况由评委进行评议评分，投标人所投产品完全满足招标文件技术规范及要求的得38分，有负偏离情况的，每负偏离一项扣3分，扣完为止，正偏离不加分。（满分38分）</w:t>
            </w:r>
          </w:p>
        </w:tc>
      </w:tr>
      <w:tr w14:paraId="0E697BA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61662C73">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7AB5A82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3D5650DD">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16F971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575"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6FF45DB9">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10313BA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22984FD5">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10B2242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2BBFF5D6">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7F8A0218">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3AD33C50">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6202628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3D613894">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0CA77982">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737FCD3B">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56B7822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04"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5E760A89">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5EFFF284">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7CD4DA9C">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6861D1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39" w:hRule="atLeast"/>
        </w:trPr>
        <w:tc>
          <w:tcPr>
            <w:tcW w:w="1221" w:type="dxa"/>
            <w:tcBorders>
              <w:top w:val="outset" w:color="auto" w:sz="6" w:space="0"/>
              <w:left w:val="outset" w:color="auto" w:sz="6" w:space="0"/>
              <w:bottom w:val="outset" w:color="auto" w:sz="6" w:space="0"/>
              <w:right w:val="outset" w:color="auto" w:sz="6" w:space="0"/>
            </w:tcBorders>
            <w:shd w:val="clear" w:color="auto" w:fill="auto"/>
            <w:vAlign w:val="center"/>
          </w:tcPr>
          <w:p w14:paraId="72BD1C7D">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50" w:type="dxa"/>
            <w:tcBorders>
              <w:top w:val="outset" w:color="auto" w:sz="6" w:space="0"/>
              <w:left w:val="outset" w:color="auto" w:sz="6" w:space="0"/>
              <w:bottom w:val="outset" w:color="auto" w:sz="6" w:space="0"/>
              <w:right w:val="outset" w:color="auto" w:sz="6" w:space="0"/>
            </w:tcBorders>
            <w:shd w:val="clear" w:color="auto" w:fill="auto"/>
            <w:vAlign w:val="center"/>
          </w:tcPr>
          <w:p w14:paraId="0337B2FE">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69" w:type="dxa"/>
            <w:tcBorders>
              <w:top w:val="outset" w:color="auto" w:sz="6" w:space="0"/>
              <w:left w:val="outset" w:color="auto" w:sz="6" w:space="0"/>
              <w:bottom w:val="outset" w:color="auto" w:sz="6" w:space="0"/>
              <w:right w:val="outset" w:color="auto" w:sz="6" w:space="0"/>
            </w:tcBorders>
            <w:shd w:val="clear" w:color="auto" w:fill="auto"/>
            <w:vAlign w:val="center"/>
          </w:tcPr>
          <w:p w14:paraId="2B42E615">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375BFDD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9AAB05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A6D1A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835380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7914CC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3C5EE60">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14:paraId="73098622">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14:paraId="55895E1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1F0BB8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D5CAC2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46"/>
        <w:gridCol w:w="1065"/>
        <w:gridCol w:w="6089"/>
      </w:tblGrid>
      <w:tr w14:paraId="2940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64" w:hRule="atLeast"/>
          <w:tblHeader/>
        </w:trPr>
        <w:tc>
          <w:tcPr>
            <w:tcW w:w="1146" w:type="dxa"/>
            <w:tcBorders>
              <w:tl2br w:val="nil"/>
              <w:tr2bl w:val="nil"/>
            </w:tcBorders>
            <w:shd w:val="clear" w:color="auto" w:fill="auto"/>
            <w:vAlign w:val="center"/>
          </w:tcPr>
          <w:p w14:paraId="7F3529B4">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65" w:type="dxa"/>
            <w:tcBorders>
              <w:tl2br w:val="nil"/>
              <w:tr2bl w:val="nil"/>
            </w:tcBorders>
            <w:shd w:val="clear" w:color="auto" w:fill="auto"/>
            <w:vAlign w:val="center"/>
          </w:tcPr>
          <w:p w14:paraId="5333E253">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89" w:type="dxa"/>
            <w:tcBorders>
              <w:tl2br w:val="nil"/>
              <w:tr2bl w:val="nil"/>
            </w:tcBorders>
            <w:shd w:val="clear" w:color="auto" w:fill="auto"/>
            <w:vAlign w:val="center"/>
          </w:tcPr>
          <w:p w14:paraId="5EFF0F02">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6F28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553" w:hRule="atLeast"/>
        </w:trPr>
        <w:tc>
          <w:tcPr>
            <w:tcW w:w="1146" w:type="dxa"/>
            <w:tcBorders>
              <w:tl2br w:val="nil"/>
              <w:tr2bl w:val="nil"/>
            </w:tcBorders>
            <w:shd w:val="clear" w:color="auto" w:fill="auto"/>
            <w:vAlign w:val="center"/>
          </w:tcPr>
          <w:p w14:paraId="20CD3D1D">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65" w:type="dxa"/>
            <w:tcBorders>
              <w:tl2br w:val="nil"/>
              <w:tr2bl w:val="nil"/>
            </w:tcBorders>
            <w:shd w:val="clear" w:color="auto" w:fill="auto"/>
            <w:vAlign w:val="center"/>
          </w:tcPr>
          <w:p w14:paraId="24BF083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89" w:type="dxa"/>
            <w:tcBorders>
              <w:tl2br w:val="nil"/>
              <w:tr2bl w:val="nil"/>
            </w:tcBorders>
            <w:shd w:val="clear" w:color="auto" w:fill="auto"/>
            <w:vAlign w:val="center"/>
          </w:tcPr>
          <w:p w14:paraId="65B7E73E">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39B96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0" w:hRule="atLeast"/>
        </w:trPr>
        <w:tc>
          <w:tcPr>
            <w:tcW w:w="1146" w:type="dxa"/>
            <w:tcBorders>
              <w:tl2br w:val="nil"/>
              <w:tr2bl w:val="nil"/>
            </w:tcBorders>
            <w:shd w:val="clear" w:color="auto" w:fill="auto"/>
            <w:vAlign w:val="center"/>
          </w:tcPr>
          <w:p w14:paraId="67D45098">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65" w:type="dxa"/>
            <w:tcBorders>
              <w:tl2br w:val="nil"/>
              <w:tr2bl w:val="nil"/>
            </w:tcBorders>
            <w:shd w:val="clear" w:color="auto" w:fill="auto"/>
            <w:vAlign w:val="center"/>
          </w:tcPr>
          <w:p w14:paraId="0324E793">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89" w:type="dxa"/>
            <w:tcBorders>
              <w:tl2br w:val="nil"/>
              <w:tr2bl w:val="nil"/>
            </w:tcBorders>
            <w:shd w:val="clear" w:color="auto" w:fill="auto"/>
            <w:vAlign w:val="center"/>
          </w:tcPr>
          <w:p w14:paraId="4DFFDAD6">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02B21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64" w:hRule="atLeast"/>
        </w:trPr>
        <w:tc>
          <w:tcPr>
            <w:tcW w:w="1146" w:type="dxa"/>
            <w:tcBorders>
              <w:tl2br w:val="nil"/>
              <w:tr2bl w:val="nil"/>
            </w:tcBorders>
            <w:shd w:val="clear" w:color="auto" w:fill="auto"/>
            <w:vAlign w:val="center"/>
          </w:tcPr>
          <w:p w14:paraId="383633CB">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65" w:type="dxa"/>
            <w:tcBorders>
              <w:tl2br w:val="nil"/>
              <w:tr2bl w:val="nil"/>
            </w:tcBorders>
            <w:shd w:val="clear" w:color="auto" w:fill="auto"/>
            <w:vAlign w:val="center"/>
          </w:tcPr>
          <w:p w14:paraId="454D853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89" w:type="dxa"/>
            <w:tcBorders>
              <w:tl2br w:val="nil"/>
              <w:tr2bl w:val="nil"/>
            </w:tcBorders>
            <w:shd w:val="clear" w:color="auto" w:fill="auto"/>
            <w:vAlign w:val="center"/>
          </w:tcPr>
          <w:p w14:paraId="4F2172EA">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w:t>
            </w:r>
            <w:r>
              <w:rPr>
                <w:rFonts w:hint="eastAsia" w:ascii="宋体" w:hAnsi="宋体" w:eastAsia="宋体" w:cs="宋体"/>
                <w:kern w:val="0"/>
                <w:sz w:val="24"/>
                <w:szCs w:val="24"/>
                <w:lang w:val="en-US" w:eastAsia="zh-CN" w:bidi="ar"/>
              </w:rPr>
              <w:t>得</w:t>
            </w:r>
            <w:r>
              <w:rPr>
                <w:rFonts w:ascii="宋体" w:hAnsi="宋体" w:eastAsia="宋体" w:cs="宋体"/>
                <w:kern w:val="0"/>
                <w:sz w:val="24"/>
                <w:szCs w:val="24"/>
                <w:lang w:val="en-US" w:eastAsia="zh-CN" w:bidi="ar"/>
              </w:rPr>
              <w:t>1分；未提供任何售后服务承诺的得0分。</w:t>
            </w:r>
          </w:p>
        </w:tc>
      </w:tr>
      <w:tr w14:paraId="3CFE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190" w:hRule="atLeast"/>
        </w:trPr>
        <w:tc>
          <w:tcPr>
            <w:tcW w:w="1146" w:type="dxa"/>
            <w:tcBorders>
              <w:tl2br w:val="nil"/>
              <w:tr2bl w:val="nil"/>
            </w:tcBorders>
            <w:shd w:val="clear" w:color="auto" w:fill="auto"/>
            <w:vAlign w:val="center"/>
          </w:tcPr>
          <w:p w14:paraId="0087CE36">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65" w:type="dxa"/>
            <w:tcBorders>
              <w:tl2br w:val="nil"/>
              <w:tr2bl w:val="nil"/>
            </w:tcBorders>
            <w:shd w:val="clear" w:color="auto" w:fill="auto"/>
            <w:vAlign w:val="center"/>
          </w:tcPr>
          <w:p w14:paraId="5DD3E90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89" w:type="dxa"/>
            <w:tcBorders>
              <w:tl2br w:val="nil"/>
              <w:tr2bl w:val="nil"/>
            </w:tcBorders>
            <w:shd w:val="clear" w:color="auto" w:fill="auto"/>
            <w:vAlign w:val="center"/>
          </w:tcPr>
          <w:p w14:paraId="71EF19C2">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475E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7" w:hRule="atLeast"/>
        </w:trPr>
        <w:tc>
          <w:tcPr>
            <w:tcW w:w="1146" w:type="dxa"/>
            <w:tcBorders>
              <w:tl2br w:val="nil"/>
              <w:tr2bl w:val="nil"/>
            </w:tcBorders>
            <w:shd w:val="clear" w:color="auto" w:fill="auto"/>
            <w:vAlign w:val="center"/>
          </w:tcPr>
          <w:p w14:paraId="03FBE09E">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65" w:type="dxa"/>
            <w:tcBorders>
              <w:tl2br w:val="nil"/>
              <w:tr2bl w:val="nil"/>
            </w:tcBorders>
            <w:shd w:val="clear" w:color="auto" w:fill="auto"/>
            <w:vAlign w:val="center"/>
          </w:tcPr>
          <w:p w14:paraId="5CE8B6F6">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089" w:type="dxa"/>
            <w:tcBorders>
              <w:tl2br w:val="nil"/>
              <w:tr2bl w:val="nil"/>
            </w:tcBorders>
            <w:shd w:val="clear" w:color="auto" w:fill="auto"/>
            <w:vAlign w:val="center"/>
          </w:tcPr>
          <w:p w14:paraId="212E8F81">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77F9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00" w:hRule="atLeast"/>
        </w:trPr>
        <w:tc>
          <w:tcPr>
            <w:tcW w:w="1146" w:type="dxa"/>
            <w:tcBorders>
              <w:tl2br w:val="nil"/>
              <w:tr2bl w:val="nil"/>
            </w:tcBorders>
            <w:shd w:val="clear" w:color="auto" w:fill="auto"/>
            <w:vAlign w:val="center"/>
          </w:tcPr>
          <w:p w14:paraId="00E04078">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65" w:type="dxa"/>
            <w:tcBorders>
              <w:tl2br w:val="nil"/>
              <w:tr2bl w:val="nil"/>
            </w:tcBorders>
            <w:shd w:val="clear" w:color="auto" w:fill="auto"/>
            <w:vAlign w:val="center"/>
          </w:tcPr>
          <w:p w14:paraId="1BEF11F2">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089" w:type="dxa"/>
            <w:tcBorders>
              <w:tl2br w:val="nil"/>
              <w:tr2bl w:val="nil"/>
            </w:tcBorders>
            <w:shd w:val="clear" w:color="auto" w:fill="auto"/>
            <w:vAlign w:val="center"/>
          </w:tcPr>
          <w:p w14:paraId="2559A112">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5754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2" w:hRule="atLeast"/>
        </w:trPr>
        <w:tc>
          <w:tcPr>
            <w:tcW w:w="1146" w:type="dxa"/>
            <w:tcBorders>
              <w:tl2br w:val="nil"/>
              <w:tr2bl w:val="nil"/>
            </w:tcBorders>
            <w:shd w:val="clear" w:color="auto" w:fill="auto"/>
            <w:vAlign w:val="center"/>
          </w:tcPr>
          <w:p w14:paraId="1F82CF7D">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65" w:type="dxa"/>
            <w:tcBorders>
              <w:tl2br w:val="nil"/>
              <w:tr2bl w:val="nil"/>
            </w:tcBorders>
            <w:shd w:val="clear" w:color="auto" w:fill="auto"/>
            <w:vAlign w:val="center"/>
          </w:tcPr>
          <w:p w14:paraId="6F91C46D">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89" w:type="dxa"/>
            <w:tcBorders>
              <w:tl2br w:val="nil"/>
              <w:tr2bl w:val="nil"/>
            </w:tcBorders>
            <w:shd w:val="clear" w:color="auto" w:fill="auto"/>
            <w:vAlign w:val="center"/>
          </w:tcPr>
          <w:p w14:paraId="5B5D3BE4">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4CD7491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14:paraId="65B4FA7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14:paraId="326FD53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14:paraId="41D418F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rPr>
          <w:rFonts w:hint="eastAsia" w:ascii="宋体" w:hAnsi="宋体" w:eastAsia="宋体" w:cs="宋体"/>
          <w:sz w:val="24"/>
          <w:szCs w:val="24"/>
        </w:rPr>
      </w:pPr>
    </w:p>
    <w:p w14:paraId="35FBECA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1357BF8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a.优先类节能产品、环境标志产品：</w:t>
      </w:r>
    </w:p>
    <w:p w14:paraId="6090357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3B0452D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280" w:lineRule="exact"/>
        <w:ind w:left="0" w:right="0" w:firstLine="482"/>
        <w:textAlignment w:val="auto"/>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31"/>
        <w:gridCol w:w="1510"/>
        <w:gridCol w:w="5919"/>
      </w:tblGrid>
      <w:tr w14:paraId="44AF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45" w:hRule="atLeast"/>
          <w:tblHeader/>
        </w:trPr>
        <w:tc>
          <w:tcPr>
            <w:tcW w:w="1031" w:type="dxa"/>
            <w:tcBorders>
              <w:tl2br w:val="nil"/>
              <w:tr2bl w:val="nil"/>
            </w:tcBorders>
            <w:shd w:val="clear" w:color="auto" w:fill="auto"/>
            <w:vAlign w:val="center"/>
          </w:tcPr>
          <w:p w14:paraId="1890976E">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评标项目</w:t>
            </w:r>
          </w:p>
        </w:tc>
        <w:tc>
          <w:tcPr>
            <w:tcW w:w="1510" w:type="dxa"/>
            <w:tcBorders>
              <w:tl2br w:val="nil"/>
              <w:tr2bl w:val="nil"/>
            </w:tcBorders>
            <w:shd w:val="clear" w:color="auto" w:fill="auto"/>
            <w:vAlign w:val="center"/>
          </w:tcPr>
          <w:p w14:paraId="321983B4">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评标分值</w:t>
            </w:r>
          </w:p>
        </w:tc>
        <w:tc>
          <w:tcPr>
            <w:tcW w:w="5919" w:type="dxa"/>
            <w:tcBorders>
              <w:tl2br w:val="nil"/>
              <w:tr2bl w:val="nil"/>
            </w:tcBorders>
            <w:shd w:val="clear" w:color="auto" w:fill="auto"/>
            <w:vAlign w:val="center"/>
          </w:tcPr>
          <w:p w14:paraId="5C8161CE">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评标方法描述</w:t>
            </w:r>
          </w:p>
        </w:tc>
      </w:tr>
      <w:tr w14:paraId="2C54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90" w:hRule="atLeast"/>
        </w:trPr>
        <w:tc>
          <w:tcPr>
            <w:tcW w:w="1031" w:type="dxa"/>
            <w:tcBorders>
              <w:tl2br w:val="nil"/>
              <w:tr2bl w:val="nil"/>
            </w:tcBorders>
            <w:shd w:val="clear" w:color="auto" w:fill="auto"/>
            <w:vAlign w:val="center"/>
          </w:tcPr>
          <w:p w14:paraId="12D53324">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节能、减排、环境标志产品部分</w:t>
            </w:r>
          </w:p>
        </w:tc>
        <w:tc>
          <w:tcPr>
            <w:tcW w:w="1510" w:type="dxa"/>
            <w:tcBorders>
              <w:tl2br w:val="nil"/>
              <w:tr2bl w:val="nil"/>
            </w:tcBorders>
            <w:shd w:val="clear" w:color="auto" w:fill="auto"/>
            <w:vAlign w:val="center"/>
          </w:tcPr>
          <w:p w14:paraId="7272ADEC">
            <w:pPr>
              <w:keepNext w:val="0"/>
              <w:keepLines w:val="0"/>
              <w:widowControl/>
              <w:suppressLineNumbers w:val="0"/>
              <w:jc w:val="center"/>
              <w:rPr>
                <w:sz w:val="24"/>
                <w:szCs w:val="24"/>
              </w:rPr>
            </w:pPr>
            <w:r>
              <w:rPr>
                <w:rFonts w:ascii="宋体" w:hAnsi="宋体" w:eastAsia="宋体" w:cs="宋体"/>
                <w:kern w:val="0"/>
                <w:sz w:val="24"/>
                <w:szCs w:val="24"/>
                <w:lang w:val="en-US" w:eastAsia="zh-CN" w:bidi="ar"/>
              </w:rPr>
              <w:t>6.8</w:t>
            </w:r>
          </w:p>
        </w:tc>
        <w:tc>
          <w:tcPr>
            <w:tcW w:w="5919" w:type="dxa"/>
            <w:tcBorders>
              <w:tl2br w:val="nil"/>
              <w:tr2bl w:val="nil"/>
            </w:tcBorders>
            <w:shd w:val="clear" w:color="auto" w:fill="auto"/>
            <w:vAlign w:val="center"/>
          </w:tcPr>
          <w:p w14:paraId="374A3E55">
            <w:pPr>
              <w:keepNext w:val="0"/>
              <w:keepLines w:val="0"/>
              <w:widowControl/>
              <w:suppressLineNumbers w:val="0"/>
              <w:jc w:val="left"/>
              <w:rPr>
                <w:sz w:val="24"/>
                <w:szCs w:val="24"/>
              </w:rPr>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047EC19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247FE03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29908CE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1DBF603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6FF7DDB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D932B4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E6857B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7411E7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34DA96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248072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061C9F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BA7AE6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E6E6A6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253EB5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A110865">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合同包2采用综合评分法</w:t>
      </w:r>
      <w:r>
        <w:rPr>
          <w:rFonts w:hint="eastAsia" w:ascii="宋体" w:hAnsi="宋体" w:eastAsia="宋体" w:cs="宋体"/>
          <w:color w:val="393939"/>
          <w:sz w:val="24"/>
          <w:szCs w:val="24"/>
          <w:shd w:val="clear" w:fill="FFFFFF"/>
        </w:rPr>
        <w:t>：</w:t>
      </w:r>
    </w:p>
    <w:p w14:paraId="0594210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51972F7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48520E1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155D9B2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47ACDC9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10BAB822">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697565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AAB70DA">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7E9E9B8C">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0AF9CD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41F59BBF">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70989ABA">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6BD921D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44E985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A62BA9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B35A3E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F71281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B12A20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6F6963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55B4D2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1FCAF6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EE7BD6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2C612A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DB8A4B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B0BF44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0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8"/>
        <w:gridCol w:w="1053"/>
        <w:gridCol w:w="6029"/>
      </w:tblGrid>
      <w:tr w14:paraId="129CDC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789" w:hRule="atLeast"/>
          <w:tblHeader/>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50FA5748">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5149811F">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0BCFA813">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0CEFCBF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230"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68955FC1">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0C8B48F4">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58914AC7">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2：“毛毯”参数要求的逐项响应、承诺的情况由评委进行评议评分，投标人所投产品完全满足招标文件技术规范及要求的得38分，有负偏离情况的，每负偏离一项扣3分，扣完为止，正偏离不加分。（满分38分）</w:t>
            </w:r>
          </w:p>
        </w:tc>
      </w:tr>
      <w:tr w14:paraId="368A11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13B8F69">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7B9F821E">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333D54D0">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66EC556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789"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0085CE3B">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54F44D9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2EF25487">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0C47ACD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5B9AE341">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27D4575C">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3360F8EA">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5162A7E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101AD0B5">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65FCCEB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74D9DCF8">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10F86C4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5"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3C4CF749">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7DA31406">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48F31C86">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7C6CE2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2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6028EF59">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53" w:type="dxa"/>
            <w:tcBorders>
              <w:top w:val="outset" w:color="auto" w:sz="6" w:space="0"/>
              <w:left w:val="outset" w:color="auto" w:sz="6" w:space="0"/>
              <w:bottom w:val="outset" w:color="auto" w:sz="6" w:space="0"/>
              <w:right w:val="outset" w:color="auto" w:sz="6" w:space="0"/>
            </w:tcBorders>
            <w:shd w:val="clear" w:color="auto" w:fill="auto"/>
            <w:vAlign w:val="center"/>
          </w:tcPr>
          <w:p w14:paraId="5D427C8D">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29" w:type="dxa"/>
            <w:tcBorders>
              <w:top w:val="outset" w:color="auto" w:sz="6" w:space="0"/>
              <w:left w:val="outset" w:color="auto" w:sz="6" w:space="0"/>
              <w:bottom w:val="outset" w:color="auto" w:sz="6" w:space="0"/>
              <w:right w:val="outset" w:color="auto" w:sz="6" w:space="0"/>
            </w:tcBorders>
            <w:shd w:val="clear" w:color="auto" w:fill="auto"/>
            <w:vAlign w:val="center"/>
          </w:tcPr>
          <w:p w14:paraId="6451D37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66A9010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08F67B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F1B904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4F300B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2EA49E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F823606">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14:paraId="10B96C5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91"/>
        <w:gridCol w:w="980"/>
        <w:gridCol w:w="6329"/>
      </w:tblGrid>
      <w:tr w14:paraId="2E3A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28" w:hRule="atLeast"/>
          <w:tblHeader/>
        </w:trPr>
        <w:tc>
          <w:tcPr>
            <w:tcW w:w="991" w:type="dxa"/>
            <w:tcBorders>
              <w:tl2br w:val="nil"/>
              <w:tr2bl w:val="nil"/>
            </w:tcBorders>
            <w:shd w:val="clear" w:color="auto" w:fill="auto"/>
            <w:vAlign w:val="center"/>
          </w:tcPr>
          <w:p w14:paraId="0D34D789">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980" w:type="dxa"/>
            <w:tcBorders>
              <w:tl2br w:val="nil"/>
              <w:tr2bl w:val="nil"/>
            </w:tcBorders>
            <w:shd w:val="clear" w:color="auto" w:fill="auto"/>
            <w:vAlign w:val="center"/>
          </w:tcPr>
          <w:p w14:paraId="77C5AAFB">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329" w:type="dxa"/>
            <w:tcBorders>
              <w:tl2br w:val="nil"/>
              <w:tr2bl w:val="nil"/>
            </w:tcBorders>
            <w:shd w:val="clear" w:color="auto" w:fill="auto"/>
            <w:vAlign w:val="center"/>
          </w:tcPr>
          <w:p w14:paraId="241EEF2D">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1745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491" w:hRule="atLeast"/>
        </w:trPr>
        <w:tc>
          <w:tcPr>
            <w:tcW w:w="991" w:type="dxa"/>
            <w:tcBorders>
              <w:tl2br w:val="nil"/>
              <w:tr2bl w:val="nil"/>
            </w:tcBorders>
            <w:shd w:val="clear" w:color="auto" w:fill="auto"/>
            <w:vAlign w:val="center"/>
          </w:tcPr>
          <w:p w14:paraId="23F80103">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980" w:type="dxa"/>
            <w:tcBorders>
              <w:tl2br w:val="nil"/>
              <w:tr2bl w:val="nil"/>
            </w:tcBorders>
            <w:shd w:val="clear" w:color="auto" w:fill="auto"/>
            <w:vAlign w:val="center"/>
          </w:tcPr>
          <w:p w14:paraId="58F3CC7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329" w:type="dxa"/>
            <w:tcBorders>
              <w:tl2br w:val="nil"/>
              <w:tr2bl w:val="nil"/>
            </w:tcBorders>
            <w:shd w:val="clear" w:color="auto" w:fill="auto"/>
            <w:vAlign w:val="center"/>
          </w:tcPr>
          <w:p w14:paraId="01AD5960">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1430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trPr>
        <w:tc>
          <w:tcPr>
            <w:tcW w:w="991" w:type="dxa"/>
            <w:tcBorders>
              <w:tl2br w:val="nil"/>
              <w:tr2bl w:val="nil"/>
            </w:tcBorders>
            <w:shd w:val="clear" w:color="auto" w:fill="auto"/>
            <w:vAlign w:val="center"/>
          </w:tcPr>
          <w:p w14:paraId="30FB8AA0">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980" w:type="dxa"/>
            <w:tcBorders>
              <w:tl2br w:val="nil"/>
              <w:tr2bl w:val="nil"/>
            </w:tcBorders>
            <w:shd w:val="clear" w:color="auto" w:fill="auto"/>
            <w:vAlign w:val="center"/>
          </w:tcPr>
          <w:p w14:paraId="74356824">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329" w:type="dxa"/>
            <w:tcBorders>
              <w:tl2br w:val="nil"/>
              <w:tr2bl w:val="nil"/>
            </w:tcBorders>
            <w:shd w:val="clear" w:color="auto" w:fill="auto"/>
            <w:vAlign w:val="center"/>
          </w:tcPr>
          <w:p w14:paraId="32B3A8D9">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7A4B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28" w:hRule="atLeast"/>
        </w:trPr>
        <w:tc>
          <w:tcPr>
            <w:tcW w:w="991" w:type="dxa"/>
            <w:tcBorders>
              <w:tl2br w:val="nil"/>
              <w:tr2bl w:val="nil"/>
            </w:tcBorders>
            <w:shd w:val="clear" w:color="auto" w:fill="auto"/>
            <w:vAlign w:val="center"/>
          </w:tcPr>
          <w:p w14:paraId="3940C15B">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980" w:type="dxa"/>
            <w:tcBorders>
              <w:tl2br w:val="nil"/>
              <w:tr2bl w:val="nil"/>
            </w:tcBorders>
            <w:shd w:val="clear" w:color="auto" w:fill="auto"/>
            <w:vAlign w:val="center"/>
          </w:tcPr>
          <w:p w14:paraId="28C807BF">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329" w:type="dxa"/>
            <w:tcBorders>
              <w:tl2br w:val="nil"/>
              <w:tr2bl w:val="nil"/>
            </w:tcBorders>
            <w:shd w:val="clear" w:color="auto" w:fill="auto"/>
            <w:vAlign w:val="center"/>
          </w:tcPr>
          <w:p w14:paraId="2AE60947">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w:t>
            </w:r>
            <w:r>
              <w:rPr>
                <w:rFonts w:hint="eastAsia" w:ascii="宋体" w:hAnsi="宋体" w:eastAsia="宋体" w:cs="宋体"/>
                <w:kern w:val="0"/>
                <w:sz w:val="24"/>
                <w:szCs w:val="24"/>
                <w:lang w:val="en-US" w:eastAsia="zh-CN" w:bidi="ar"/>
              </w:rPr>
              <w:t>得</w:t>
            </w:r>
            <w:r>
              <w:rPr>
                <w:rFonts w:ascii="宋体" w:hAnsi="宋体" w:eastAsia="宋体" w:cs="宋体"/>
                <w:kern w:val="0"/>
                <w:sz w:val="24"/>
                <w:szCs w:val="24"/>
                <w:lang w:val="en-US" w:eastAsia="zh-CN" w:bidi="ar"/>
              </w:rPr>
              <w:t>1分；未提供任何售后服务承诺的得0分。</w:t>
            </w:r>
          </w:p>
        </w:tc>
      </w:tr>
      <w:tr w14:paraId="7F1B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7" w:hRule="atLeast"/>
        </w:trPr>
        <w:tc>
          <w:tcPr>
            <w:tcW w:w="991" w:type="dxa"/>
            <w:tcBorders>
              <w:tl2br w:val="nil"/>
              <w:tr2bl w:val="nil"/>
            </w:tcBorders>
            <w:shd w:val="clear" w:color="auto" w:fill="auto"/>
            <w:vAlign w:val="center"/>
          </w:tcPr>
          <w:p w14:paraId="7AC60C70">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980" w:type="dxa"/>
            <w:tcBorders>
              <w:tl2br w:val="nil"/>
              <w:tr2bl w:val="nil"/>
            </w:tcBorders>
            <w:shd w:val="clear" w:color="auto" w:fill="auto"/>
            <w:vAlign w:val="center"/>
          </w:tcPr>
          <w:p w14:paraId="62D2DC0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329" w:type="dxa"/>
            <w:tcBorders>
              <w:tl2br w:val="nil"/>
              <w:tr2bl w:val="nil"/>
            </w:tcBorders>
            <w:shd w:val="clear" w:color="auto" w:fill="auto"/>
            <w:vAlign w:val="center"/>
          </w:tcPr>
          <w:p w14:paraId="52732B07">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3D013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19" w:hRule="atLeast"/>
        </w:trPr>
        <w:tc>
          <w:tcPr>
            <w:tcW w:w="991" w:type="dxa"/>
            <w:tcBorders>
              <w:tl2br w:val="nil"/>
              <w:tr2bl w:val="nil"/>
            </w:tcBorders>
            <w:shd w:val="clear" w:color="auto" w:fill="auto"/>
            <w:vAlign w:val="center"/>
          </w:tcPr>
          <w:p w14:paraId="046CDCF9">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980" w:type="dxa"/>
            <w:tcBorders>
              <w:tl2br w:val="nil"/>
              <w:tr2bl w:val="nil"/>
            </w:tcBorders>
            <w:shd w:val="clear" w:color="auto" w:fill="auto"/>
            <w:vAlign w:val="center"/>
          </w:tcPr>
          <w:p w14:paraId="503C35D0">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329" w:type="dxa"/>
            <w:tcBorders>
              <w:tl2br w:val="nil"/>
              <w:tr2bl w:val="nil"/>
            </w:tcBorders>
            <w:shd w:val="clear" w:color="auto" w:fill="auto"/>
            <w:vAlign w:val="center"/>
          </w:tcPr>
          <w:p w14:paraId="13BF195B">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3D82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4" w:hRule="atLeast"/>
        </w:trPr>
        <w:tc>
          <w:tcPr>
            <w:tcW w:w="991" w:type="dxa"/>
            <w:tcBorders>
              <w:tl2br w:val="nil"/>
              <w:tr2bl w:val="nil"/>
            </w:tcBorders>
            <w:shd w:val="clear" w:color="auto" w:fill="auto"/>
            <w:vAlign w:val="center"/>
          </w:tcPr>
          <w:p w14:paraId="61F7912E">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980" w:type="dxa"/>
            <w:tcBorders>
              <w:tl2br w:val="nil"/>
              <w:tr2bl w:val="nil"/>
            </w:tcBorders>
            <w:shd w:val="clear" w:color="auto" w:fill="auto"/>
            <w:vAlign w:val="center"/>
          </w:tcPr>
          <w:p w14:paraId="125A5D4F">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329" w:type="dxa"/>
            <w:tcBorders>
              <w:tl2br w:val="nil"/>
              <w:tr2bl w:val="nil"/>
            </w:tcBorders>
            <w:shd w:val="clear" w:color="auto" w:fill="auto"/>
            <w:vAlign w:val="center"/>
          </w:tcPr>
          <w:p w14:paraId="329F8D2A">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173F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85" w:hRule="atLeast"/>
        </w:trPr>
        <w:tc>
          <w:tcPr>
            <w:tcW w:w="991" w:type="dxa"/>
            <w:tcBorders>
              <w:tl2br w:val="nil"/>
              <w:tr2bl w:val="nil"/>
            </w:tcBorders>
            <w:shd w:val="clear" w:color="auto" w:fill="auto"/>
            <w:vAlign w:val="center"/>
          </w:tcPr>
          <w:p w14:paraId="3120FE86">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980" w:type="dxa"/>
            <w:tcBorders>
              <w:tl2br w:val="nil"/>
              <w:tr2bl w:val="nil"/>
            </w:tcBorders>
            <w:shd w:val="clear" w:color="auto" w:fill="auto"/>
            <w:vAlign w:val="center"/>
          </w:tcPr>
          <w:p w14:paraId="7099E1D2">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329" w:type="dxa"/>
            <w:tcBorders>
              <w:tl2br w:val="nil"/>
              <w:tr2bl w:val="nil"/>
            </w:tcBorders>
            <w:shd w:val="clear" w:color="auto" w:fill="auto"/>
            <w:vAlign w:val="center"/>
          </w:tcPr>
          <w:p w14:paraId="244C6ADD">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77892E7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234942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F6EBA3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DE64AF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0C5E21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615FF2E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015829C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6DD6496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3"/>
        <w:gridCol w:w="1318"/>
        <w:gridCol w:w="5985"/>
      </w:tblGrid>
      <w:tr w14:paraId="2F1CF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1013" w:type="dxa"/>
            <w:tcBorders>
              <w:tl2br w:val="nil"/>
              <w:tr2bl w:val="nil"/>
            </w:tcBorders>
            <w:shd w:val="clear" w:color="auto" w:fill="auto"/>
            <w:vAlign w:val="center"/>
          </w:tcPr>
          <w:p w14:paraId="3F4D4BBD">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318" w:type="dxa"/>
            <w:tcBorders>
              <w:tl2br w:val="nil"/>
              <w:tr2bl w:val="nil"/>
            </w:tcBorders>
            <w:shd w:val="clear" w:color="auto" w:fill="auto"/>
            <w:vAlign w:val="center"/>
          </w:tcPr>
          <w:p w14:paraId="2D0F8916">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85" w:type="dxa"/>
            <w:tcBorders>
              <w:tl2br w:val="nil"/>
              <w:tr2bl w:val="nil"/>
            </w:tcBorders>
            <w:shd w:val="clear" w:color="auto" w:fill="auto"/>
            <w:vAlign w:val="center"/>
          </w:tcPr>
          <w:p w14:paraId="3C7F83DE">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5093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13" w:type="dxa"/>
            <w:tcBorders>
              <w:tl2br w:val="nil"/>
              <w:tr2bl w:val="nil"/>
            </w:tcBorders>
            <w:shd w:val="clear" w:color="auto" w:fill="auto"/>
            <w:vAlign w:val="center"/>
          </w:tcPr>
          <w:p w14:paraId="6737886C">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318" w:type="dxa"/>
            <w:tcBorders>
              <w:tl2br w:val="nil"/>
              <w:tr2bl w:val="nil"/>
            </w:tcBorders>
            <w:shd w:val="clear" w:color="auto" w:fill="auto"/>
            <w:vAlign w:val="center"/>
          </w:tcPr>
          <w:p w14:paraId="77D57852">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5985" w:type="dxa"/>
            <w:tcBorders>
              <w:tl2br w:val="nil"/>
              <w:tr2bl w:val="nil"/>
            </w:tcBorders>
            <w:shd w:val="clear" w:color="auto" w:fill="auto"/>
            <w:vAlign w:val="center"/>
          </w:tcPr>
          <w:p w14:paraId="2B3A986D">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7FD2C2E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53F8686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572CC55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6E6BFA8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26B3470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59EA79F">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48798D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4317C3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BBA043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EDCD4F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FC6018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746947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D56CC9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945A35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927DA2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440FFE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03B1C3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4FDCF8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8A1386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DA7D37F">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合同包3采用综合评分法</w:t>
      </w:r>
      <w:r>
        <w:rPr>
          <w:rFonts w:hint="eastAsia" w:ascii="宋体" w:hAnsi="宋体" w:eastAsia="宋体" w:cs="宋体"/>
          <w:color w:val="393939"/>
          <w:sz w:val="24"/>
          <w:szCs w:val="24"/>
          <w:shd w:val="clear" w:fill="FFFFFF"/>
        </w:rPr>
        <w:t>：</w:t>
      </w:r>
    </w:p>
    <w:p w14:paraId="305A717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41C22E9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160DBD9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660209A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666624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12940C74">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1F76B81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4F92BE68">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1B36842C">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177897A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AECEA43">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30B313D6">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36031A3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3B9815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5DADB0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DEA912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F7177D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15C282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858357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3FA488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15F078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BE3B18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835CE2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799511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BD61C2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2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8"/>
        <w:gridCol w:w="1098"/>
        <w:gridCol w:w="6004"/>
      </w:tblGrid>
      <w:tr w14:paraId="28EB8DB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812" w:hRule="atLeast"/>
          <w:tblHeader/>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03622F87">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642EE55F">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297BA3F0">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3F433D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260"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2C3558F">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45BF68DB">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52582E89">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3：“羽绒服”参数要求的逐项响应、承诺的情况由评委进行评议评分，投标人所投产品完全满足招标文件技术规范及要求的得38分，有负偏离情况的，每负偏离一项扣3分，扣完为止，正偏离不加分。（满分38分）</w:t>
            </w:r>
          </w:p>
        </w:tc>
      </w:tr>
      <w:tr w14:paraId="707D7FC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E004213">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1BA722F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3D126A83">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01AFE6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812"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56F1B0B5">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2154FCE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1FC21D43">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4A35E54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C542324">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30C46382">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3C8E1365">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6A60C4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2647681B">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6C86CE8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0BB22819">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2BDF12C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16"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7EFD1F26">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3093AD7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12AF6A69">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68A3C8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38" w:hRule="atLeast"/>
        </w:trPr>
        <w:tc>
          <w:tcPr>
            <w:tcW w:w="1218" w:type="dxa"/>
            <w:tcBorders>
              <w:top w:val="outset" w:color="auto" w:sz="6" w:space="0"/>
              <w:left w:val="outset" w:color="auto" w:sz="6" w:space="0"/>
              <w:bottom w:val="outset" w:color="auto" w:sz="6" w:space="0"/>
              <w:right w:val="outset" w:color="auto" w:sz="6" w:space="0"/>
            </w:tcBorders>
            <w:shd w:val="clear" w:color="auto" w:fill="auto"/>
            <w:vAlign w:val="center"/>
          </w:tcPr>
          <w:p w14:paraId="3D6BD214">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98" w:type="dxa"/>
            <w:tcBorders>
              <w:top w:val="outset" w:color="auto" w:sz="6" w:space="0"/>
              <w:left w:val="outset" w:color="auto" w:sz="6" w:space="0"/>
              <w:bottom w:val="outset" w:color="auto" w:sz="6" w:space="0"/>
              <w:right w:val="outset" w:color="auto" w:sz="6" w:space="0"/>
            </w:tcBorders>
            <w:shd w:val="clear" w:color="auto" w:fill="auto"/>
            <w:vAlign w:val="center"/>
          </w:tcPr>
          <w:p w14:paraId="7DBEA935">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04" w:type="dxa"/>
            <w:tcBorders>
              <w:top w:val="outset" w:color="auto" w:sz="6" w:space="0"/>
              <w:left w:val="outset" w:color="auto" w:sz="6" w:space="0"/>
              <w:bottom w:val="outset" w:color="auto" w:sz="6" w:space="0"/>
              <w:right w:val="outset" w:color="auto" w:sz="6" w:space="0"/>
            </w:tcBorders>
            <w:shd w:val="clear" w:color="auto" w:fill="auto"/>
            <w:vAlign w:val="center"/>
          </w:tcPr>
          <w:p w14:paraId="47C3B2C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6B4101C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7DEDDE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41CA46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8E8F0B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A25B70F">
      <w:pPr>
        <w:pStyle w:val="5"/>
        <w:keepNext w:val="0"/>
        <w:keepLines w:val="0"/>
        <w:widowControl/>
        <w:suppressLineNumbers w:val="0"/>
        <w:spacing w:before="0" w:beforeAutospacing="0" w:after="150" w:afterAutospacing="0"/>
        <w:ind w:right="0"/>
        <w:rPr>
          <w:rFonts w:hint="eastAsia" w:ascii="宋体" w:hAnsi="宋体" w:eastAsia="宋体" w:cs="宋体"/>
          <w:sz w:val="24"/>
          <w:szCs w:val="24"/>
        </w:rPr>
      </w:pPr>
    </w:p>
    <w:p w14:paraId="0E04FCF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7E499E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01"/>
        <w:gridCol w:w="1215"/>
        <w:gridCol w:w="5984"/>
      </w:tblGrid>
      <w:tr w14:paraId="6C8B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494" w:hRule="atLeast"/>
          <w:tblHeader/>
        </w:trPr>
        <w:tc>
          <w:tcPr>
            <w:tcW w:w="1101" w:type="dxa"/>
            <w:tcBorders>
              <w:tl2br w:val="nil"/>
              <w:tr2bl w:val="nil"/>
            </w:tcBorders>
            <w:shd w:val="clear" w:color="auto" w:fill="auto"/>
            <w:vAlign w:val="center"/>
          </w:tcPr>
          <w:p w14:paraId="12A2AA4D">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215" w:type="dxa"/>
            <w:tcBorders>
              <w:tl2br w:val="nil"/>
              <w:tr2bl w:val="nil"/>
            </w:tcBorders>
            <w:shd w:val="clear" w:color="auto" w:fill="auto"/>
            <w:vAlign w:val="center"/>
          </w:tcPr>
          <w:p w14:paraId="4D3D86AC">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84" w:type="dxa"/>
            <w:tcBorders>
              <w:tl2br w:val="nil"/>
              <w:tr2bl w:val="nil"/>
            </w:tcBorders>
            <w:shd w:val="clear" w:color="auto" w:fill="auto"/>
            <w:vAlign w:val="center"/>
          </w:tcPr>
          <w:p w14:paraId="55E049BC">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7C518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605" w:hRule="atLeast"/>
        </w:trPr>
        <w:tc>
          <w:tcPr>
            <w:tcW w:w="1101" w:type="dxa"/>
            <w:tcBorders>
              <w:tl2br w:val="nil"/>
              <w:tr2bl w:val="nil"/>
            </w:tcBorders>
            <w:shd w:val="clear" w:color="auto" w:fill="auto"/>
            <w:vAlign w:val="center"/>
          </w:tcPr>
          <w:p w14:paraId="1E2E24D6">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215" w:type="dxa"/>
            <w:tcBorders>
              <w:tl2br w:val="nil"/>
              <w:tr2bl w:val="nil"/>
            </w:tcBorders>
            <w:shd w:val="clear" w:color="auto" w:fill="auto"/>
            <w:vAlign w:val="center"/>
          </w:tcPr>
          <w:p w14:paraId="6483EAB5">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84" w:type="dxa"/>
            <w:tcBorders>
              <w:tl2br w:val="nil"/>
              <w:tr2bl w:val="nil"/>
            </w:tcBorders>
            <w:shd w:val="clear" w:color="auto" w:fill="auto"/>
            <w:vAlign w:val="center"/>
          </w:tcPr>
          <w:p w14:paraId="07E1E534">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1C09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23" w:hRule="atLeast"/>
        </w:trPr>
        <w:tc>
          <w:tcPr>
            <w:tcW w:w="1101" w:type="dxa"/>
            <w:tcBorders>
              <w:tl2br w:val="nil"/>
              <w:tr2bl w:val="nil"/>
            </w:tcBorders>
            <w:shd w:val="clear" w:color="auto" w:fill="auto"/>
            <w:vAlign w:val="center"/>
          </w:tcPr>
          <w:p w14:paraId="378DECE4">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215" w:type="dxa"/>
            <w:tcBorders>
              <w:tl2br w:val="nil"/>
              <w:tr2bl w:val="nil"/>
            </w:tcBorders>
            <w:shd w:val="clear" w:color="auto" w:fill="auto"/>
            <w:vAlign w:val="center"/>
          </w:tcPr>
          <w:p w14:paraId="59EFA9AC">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84" w:type="dxa"/>
            <w:tcBorders>
              <w:tl2br w:val="nil"/>
              <w:tr2bl w:val="nil"/>
            </w:tcBorders>
            <w:shd w:val="clear" w:color="auto" w:fill="auto"/>
            <w:vAlign w:val="center"/>
          </w:tcPr>
          <w:p w14:paraId="6BABB9BD">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3612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4" w:hRule="atLeast"/>
        </w:trPr>
        <w:tc>
          <w:tcPr>
            <w:tcW w:w="1101" w:type="dxa"/>
            <w:tcBorders>
              <w:tl2br w:val="nil"/>
              <w:tr2bl w:val="nil"/>
            </w:tcBorders>
            <w:shd w:val="clear" w:color="auto" w:fill="auto"/>
            <w:vAlign w:val="center"/>
          </w:tcPr>
          <w:p w14:paraId="066A5DF2">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215" w:type="dxa"/>
            <w:tcBorders>
              <w:tl2br w:val="nil"/>
              <w:tr2bl w:val="nil"/>
            </w:tcBorders>
            <w:shd w:val="clear" w:color="auto" w:fill="auto"/>
            <w:vAlign w:val="center"/>
          </w:tcPr>
          <w:p w14:paraId="2A6D3625">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84" w:type="dxa"/>
            <w:tcBorders>
              <w:tl2br w:val="nil"/>
              <w:tr2bl w:val="nil"/>
            </w:tcBorders>
            <w:shd w:val="clear" w:color="auto" w:fill="auto"/>
            <w:vAlign w:val="center"/>
          </w:tcPr>
          <w:p w14:paraId="270F8ECF">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根据投标人提供的售后服务承诺、反馈方式，维护响应时间、响应方式等情况进行评分，售后服务承诺优于招标文件，响应时间短，响应方式多样的得3分，售后服务承诺较好，售后服务响应内容一般的</w:t>
            </w:r>
            <w:r>
              <w:rPr>
                <w:rFonts w:hint="eastAsia" w:ascii="宋体" w:hAnsi="宋体" w:eastAsia="宋体" w:cs="宋体"/>
                <w:kern w:val="0"/>
                <w:sz w:val="24"/>
                <w:szCs w:val="24"/>
                <w:lang w:val="en-US" w:eastAsia="zh-CN" w:bidi="ar"/>
              </w:rPr>
              <w:t>得</w:t>
            </w:r>
            <w:bookmarkStart w:id="0" w:name="_GoBack"/>
            <w:bookmarkEnd w:id="0"/>
            <w:r>
              <w:rPr>
                <w:rFonts w:ascii="宋体" w:hAnsi="宋体" w:eastAsia="宋体" w:cs="宋体"/>
                <w:kern w:val="0"/>
                <w:sz w:val="24"/>
                <w:szCs w:val="24"/>
                <w:lang w:val="en-US" w:eastAsia="zh-CN" w:bidi="ar"/>
              </w:rPr>
              <w:t>1分；未提供任何售后服务承诺的得0分。</w:t>
            </w:r>
          </w:p>
        </w:tc>
      </w:tr>
      <w:tr w14:paraId="1891C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35" w:hRule="atLeast"/>
        </w:trPr>
        <w:tc>
          <w:tcPr>
            <w:tcW w:w="1101" w:type="dxa"/>
            <w:tcBorders>
              <w:tl2br w:val="nil"/>
              <w:tr2bl w:val="nil"/>
            </w:tcBorders>
            <w:shd w:val="clear" w:color="auto" w:fill="auto"/>
            <w:vAlign w:val="center"/>
          </w:tcPr>
          <w:p w14:paraId="7587EC52">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215" w:type="dxa"/>
            <w:tcBorders>
              <w:tl2br w:val="nil"/>
              <w:tr2bl w:val="nil"/>
            </w:tcBorders>
            <w:shd w:val="clear" w:color="auto" w:fill="auto"/>
            <w:vAlign w:val="center"/>
          </w:tcPr>
          <w:p w14:paraId="704B423F">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84" w:type="dxa"/>
            <w:tcBorders>
              <w:tl2br w:val="nil"/>
              <w:tr2bl w:val="nil"/>
            </w:tcBorders>
            <w:shd w:val="clear" w:color="auto" w:fill="auto"/>
            <w:vAlign w:val="center"/>
          </w:tcPr>
          <w:p w14:paraId="0F95FB84">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3801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752" w:hRule="atLeast"/>
        </w:trPr>
        <w:tc>
          <w:tcPr>
            <w:tcW w:w="1101" w:type="dxa"/>
            <w:tcBorders>
              <w:tl2br w:val="nil"/>
              <w:tr2bl w:val="nil"/>
            </w:tcBorders>
            <w:shd w:val="clear" w:color="auto" w:fill="auto"/>
            <w:vAlign w:val="center"/>
          </w:tcPr>
          <w:p w14:paraId="5270616F">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215" w:type="dxa"/>
            <w:tcBorders>
              <w:tl2br w:val="nil"/>
              <w:tr2bl w:val="nil"/>
            </w:tcBorders>
            <w:shd w:val="clear" w:color="auto" w:fill="auto"/>
            <w:vAlign w:val="center"/>
          </w:tcPr>
          <w:p w14:paraId="004DBF84">
            <w:pPr>
              <w:keepNext w:val="0"/>
              <w:keepLines w:val="0"/>
              <w:widowControl/>
              <w:suppressLineNumbers w:val="0"/>
              <w:jc w:val="center"/>
            </w:pPr>
            <w:r>
              <w:rPr>
                <w:rFonts w:ascii="宋体" w:hAnsi="宋体" w:eastAsia="宋体" w:cs="宋体"/>
                <w:kern w:val="0"/>
                <w:sz w:val="24"/>
                <w:szCs w:val="24"/>
                <w:lang w:val="en-US" w:eastAsia="zh-CN" w:bidi="ar"/>
              </w:rPr>
              <w:t>1</w:t>
            </w:r>
          </w:p>
        </w:tc>
        <w:tc>
          <w:tcPr>
            <w:tcW w:w="5984" w:type="dxa"/>
            <w:tcBorders>
              <w:tl2br w:val="nil"/>
              <w:tr2bl w:val="nil"/>
            </w:tcBorders>
            <w:shd w:val="clear" w:color="auto" w:fill="auto"/>
            <w:vAlign w:val="center"/>
          </w:tcPr>
          <w:p w14:paraId="66017D77">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3DE8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3" w:hRule="atLeast"/>
        </w:trPr>
        <w:tc>
          <w:tcPr>
            <w:tcW w:w="1101" w:type="dxa"/>
            <w:tcBorders>
              <w:tl2br w:val="nil"/>
              <w:tr2bl w:val="nil"/>
            </w:tcBorders>
            <w:shd w:val="clear" w:color="auto" w:fill="auto"/>
            <w:vAlign w:val="center"/>
          </w:tcPr>
          <w:p w14:paraId="5A626725">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215" w:type="dxa"/>
            <w:tcBorders>
              <w:tl2br w:val="nil"/>
              <w:tr2bl w:val="nil"/>
            </w:tcBorders>
            <w:shd w:val="clear" w:color="auto" w:fill="auto"/>
            <w:vAlign w:val="center"/>
          </w:tcPr>
          <w:p w14:paraId="127BDF63">
            <w:pPr>
              <w:keepNext w:val="0"/>
              <w:keepLines w:val="0"/>
              <w:widowControl/>
              <w:suppressLineNumbers w:val="0"/>
              <w:jc w:val="center"/>
            </w:pPr>
            <w:r>
              <w:rPr>
                <w:rFonts w:ascii="宋体" w:hAnsi="宋体" w:eastAsia="宋体" w:cs="宋体"/>
                <w:kern w:val="0"/>
                <w:sz w:val="24"/>
                <w:szCs w:val="24"/>
                <w:lang w:val="en-US" w:eastAsia="zh-CN" w:bidi="ar"/>
              </w:rPr>
              <w:t>1</w:t>
            </w:r>
          </w:p>
        </w:tc>
        <w:tc>
          <w:tcPr>
            <w:tcW w:w="5984" w:type="dxa"/>
            <w:tcBorders>
              <w:tl2br w:val="nil"/>
              <w:tr2bl w:val="nil"/>
            </w:tcBorders>
            <w:shd w:val="clear" w:color="auto" w:fill="auto"/>
            <w:vAlign w:val="center"/>
          </w:tcPr>
          <w:p w14:paraId="147E3FDE">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25DB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135" w:hRule="atLeast"/>
        </w:trPr>
        <w:tc>
          <w:tcPr>
            <w:tcW w:w="1101" w:type="dxa"/>
            <w:tcBorders>
              <w:tl2br w:val="nil"/>
              <w:tr2bl w:val="nil"/>
            </w:tcBorders>
            <w:shd w:val="clear" w:color="auto" w:fill="auto"/>
            <w:vAlign w:val="center"/>
          </w:tcPr>
          <w:p w14:paraId="6BDFAE4F">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215" w:type="dxa"/>
            <w:tcBorders>
              <w:tl2br w:val="nil"/>
              <w:tr2bl w:val="nil"/>
            </w:tcBorders>
            <w:shd w:val="clear" w:color="auto" w:fill="auto"/>
            <w:vAlign w:val="center"/>
          </w:tcPr>
          <w:p w14:paraId="0C02F716">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84" w:type="dxa"/>
            <w:tcBorders>
              <w:tl2br w:val="nil"/>
              <w:tr2bl w:val="nil"/>
            </w:tcBorders>
            <w:shd w:val="clear" w:color="auto" w:fill="auto"/>
            <w:vAlign w:val="center"/>
          </w:tcPr>
          <w:p w14:paraId="3A0861B8">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7AAB578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3CB810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DBFC89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FF124A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568ACFC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6E94DFA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0175D27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3"/>
        <w:gridCol w:w="1153"/>
        <w:gridCol w:w="6150"/>
      </w:tblGrid>
      <w:tr w14:paraId="3A8D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1013" w:type="dxa"/>
            <w:tcBorders>
              <w:tl2br w:val="nil"/>
              <w:tr2bl w:val="nil"/>
            </w:tcBorders>
            <w:shd w:val="clear" w:color="auto" w:fill="auto"/>
            <w:vAlign w:val="center"/>
          </w:tcPr>
          <w:p w14:paraId="4B2D652D">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53" w:type="dxa"/>
            <w:tcBorders>
              <w:tl2br w:val="nil"/>
              <w:tr2bl w:val="nil"/>
            </w:tcBorders>
            <w:shd w:val="clear" w:color="auto" w:fill="auto"/>
            <w:vAlign w:val="center"/>
          </w:tcPr>
          <w:p w14:paraId="4A15892B">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50" w:type="dxa"/>
            <w:tcBorders>
              <w:tl2br w:val="nil"/>
              <w:tr2bl w:val="nil"/>
            </w:tcBorders>
            <w:shd w:val="clear" w:color="auto" w:fill="auto"/>
            <w:vAlign w:val="center"/>
          </w:tcPr>
          <w:p w14:paraId="67F9124F">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0B5A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013" w:type="dxa"/>
            <w:tcBorders>
              <w:tl2br w:val="nil"/>
              <w:tr2bl w:val="nil"/>
            </w:tcBorders>
            <w:shd w:val="clear" w:color="auto" w:fill="auto"/>
            <w:vAlign w:val="center"/>
          </w:tcPr>
          <w:p w14:paraId="326D9DDB">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53" w:type="dxa"/>
            <w:tcBorders>
              <w:tl2br w:val="nil"/>
              <w:tr2bl w:val="nil"/>
            </w:tcBorders>
            <w:shd w:val="clear" w:color="auto" w:fill="auto"/>
            <w:vAlign w:val="center"/>
          </w:tcPr>
          <w:p w14:paraId="02772DD1">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150" w:type="dxa"/>
            <w:tcBorders>
              <w:tl2br w:val="nil"/>
              <w:tr2bl w:val="nil"/>
            </w:tcBorders>
            <w:shd w:val="clear" w:color="auto" w:fill="auto"/>
            <w:vAlign w:val="center"/>
          </w:tcPr>
          <w:p w14:paraId="7D2B58BA">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1FC957B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18949DB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07C0172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08A09BE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6C1D0D6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350799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ACF9B8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4CB71C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B91A62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06F235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4E9602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EEF3E5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D57EE6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9DC251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8645EC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E017A2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C50AF2F">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3796A9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97D674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DD09F5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CCF9DA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1100BDE">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合同包4采用综合评分法</w:t>
      </w:r>
      <w:r>
        <w:rPr>
          <w:rFonts w:hint="eastAsia" w:ascii="宋体" w:hAnsi="宋体" w:eastAsia="宋体" w:cs="宋体"/>
          <w:color w:val="393939"/>
          <w:sz w:val="24"/>
          <w:szCs w:val="24"/>
          <w:shd w:val="clear" w:fill="FFFFFF"/>
        </w:rPr>
        <w:t>：</w:t>
      </w:r>
    </w:p>
    <w:p w14:paraId="66B3C73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1B46221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60EAE360">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584E9BD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BE98319">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6D6ACE95">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71CD68E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05EB51B5">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4050B693">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2B302D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2BAC93A5">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102F0AA0">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6DE84C8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BEB807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AB121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FBEA1D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9EB761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627FB2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2A2E0B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70E47F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20BE0B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4A170B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0D2336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EEAB04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BA8FB2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0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5"/>
        <w:gridCol w:w="1146"/>
        <w:gridCol w:w="5939"/>
      </w:tblGrid>
      <w:tr w14:paraId="5CEAFB1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38" w:hRule="atLeast"/>
          <w:tblHeader/>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062B6CCA">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429F42B1">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50312A32">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2B0827B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417"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14B75568">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4D698B43">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663FB636">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4：“取暖器”参数要求的逐项响应、承诺的情况由评委进行评议评分，投标人所投产品完全满足招标文件技术规范及要求的得38分，有负偏离情况的，每负偏离一项扣3分，扣完为止，正偏离不加分。（满分38分）</w:t>
            </w:r>
          </w:p>
        </w:tc>
      </w:tr>
      <w:tr w14:paraId="30F1CF7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092B60A4">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27A6D94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43A4AFD1">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25AAD78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38"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2BC08377">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1CA1BF68">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63FA583A">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0B38373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58FDE6BE">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1767C32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4B097AB9">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6569538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7DAE328E">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0BBB737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3BC9350C">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5F9E52D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80"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0CD82681">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454835D0">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6D08FE90">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34B55E9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03" w:hRule="atLeast"/>
        </w:trPr>
        <w:tc>
          <w:tcPr>
            <w:tcW w:w="1215" w:type="dxa"/>
            <w:tcBorders>
              <w:top w:val="outset" w:color="auto" w:sz="6" w:space="0"/>
              <w:left w:val="outset" w:color="auto" w:sz="6" w:space="0"/>
              <w:bottom w:val="outset" w:color="auto" w:sz="6" w:space="0"/>
              <w:right w:val="outset" w:color="auto" w:sz="6" w:space="0"/>
            </w:tcBorders>
            <w:shd w:val="clear" w:color="auto" w:fill="auto"/>
            <w:vAlign w:val="center"/>
          </w:tcPr>
          <w:p w14:paraId="23569E9A">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146" w:type="dxa"/>
            <w:tcBorders>
              <w:top w:val="outset" w:color="auto" w:sz="6" w:space="0"/>
              <w:left w:val="outset" w:color="auto" w:sz="6" w:space="0"/>
              <w:bottom w:val="outset" w:color="auto" w:sz="6" w:space="0"/>
              <w:right w:val="outset" w:color="auto" w:sz="6" w:space="0"/>
            </w:tcBorders>
            <w:shd w:val="clear" w:color="auto" w:fill="auto"/>
            <w:vAlign w:val="center"/>
          </w:tcPr>
          <w:p w14:paraId="40B022BD">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39" w:type="dxa"/>
            <w:tcBorders>
              <w:top w:val="outset" w:color="auto" w:sz="6" w:space="0"/>
              <w:left w:val="outset" w:color="auto" w:sz="6" w:space="0"/>
              <w:bottom w:val="outset" w:color="auto" w:sz="6" w:space="0"/>
              <w:right w:val="outset" w:color="auto" w:sz="6" w:space="0"/>
            </w:tcBorders>
            <w:shd w:val="clear" w:color="auto" w:fill="auto"/>
            <w:vAlign w:val="center"/>
          </w:tcPr>
          <w:p w14:paraId="6A3349C3">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16DC25B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257759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5E801C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A16CE0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E64A3B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81"/>
        <w:gridCol w:w="1080"/>
        <w:gridCol w:w="6255"/>
      </w:tblGrid>
      <w:tr w14:paraId="0BDD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981" w:type="dxa"/>
            <w:tcBorders>
              <w:tl2br w:val="nil"/>
              <w:tr2bl w:val="nil"/>
            </w:tcBorders>
            <w:shd w:val="clear" w:color="auto" w:fill="auto"/>
            <w:vAlign w:val="center"/>
          </w:tcPr>
          <w:p w14:paraId="724D3DDA">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80" w:type="dxa"/>
            <w:tcBorders>
              <w:tl2br w:val="nil"/>
              <w:tr2bl w:val="nil"/>
            </w:tcBorders>
            <w:shd w:val="clear" w:color="auto" w:fill="auto"/>
            <w:vAlign w:val="center"/>
          </w:tcPr>
          <w:p w14:paraId="53792EA6">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255" w:type="dxa"/>
            <w:tcBorders>
              <w:tl2br w:val="nil"/>
              <w:tr2bl w:val="nil"/>
            </w:tcBorders>
            <w:shd w:val="clear" w:color="auto" w:fill="auto"/>
            <w:vAlign w:val="center"/>
          </w:tcPr>
          <w:p w14:paraId="70B0B248">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1732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81" w:type="dxa"/>
            <w:tcBorders>
              <w:tl2br w:val="nil"/>
              <w:tr2bl w:val="nil"/>
            </w:tcBorders>
            <w:shd w:val="clear" w:color="auto" w:fill="auto"/>
            <w:vAlign w:val="center"/>
          </w:tcPr>
          <w:p w14:paraId="27C6411F">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80" w:type="dxa"/>
            <w:tcBorders>
              <w:tl2br w:val="nil"/>
              <w:tr2bl w:val="nil"/>
            </w:tcBorders>
            <w:shd w:val="clear" w:color="auto" w:fill="auto"/>
            <w:vAlign w:val="center"/>
          </w:tcPr>
          <w:p w14:paraId="1ADCBE35">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5" w:type="dxa"/>
            <w:tcBorders>
              <w:tl2br w:val="nil"/>
              <w:tr2bl w:val="nil"/>
            </w:tcBorders>
            <w:shd w:val="clear" w:color="auto" w:fill="auto"/>
            <w:vAlign w:val="center"/>
          </w:tcPr>
          <w:p w14:paraId="74F2DA89">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02C64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81" w:type="dxa"/>
            <w:tcBorders>
              <w:tl2br w:val="nil"/>
              <w:tr2bl w:val="nil"/>
            </w:tcBorders>
            <w:shd w:val="clear" w:color="auto" w:fill="auto"/>
            <w:vAlign w:val="center"/>
          </w:tcPr>
          <w:p w14:paraId="318D1FEA">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80" w:type="dxa"/>
            <w:tcBorders>
              <w:tl2br w:val="nil"/>
              <w:tr2bl w:val="nil"/>
            </w:tcBorders>
            <w:shd w:val="clear" w:color="auto" w:fill="auto"/>
            <w:vAlign w:val="center"/>
          </w:tcPr>
          <w:p w14:paraId="0C2E5E9A">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5" w:type="dxa"/>
            <w:tcBorders>
              <w:tl2br w:val="nil"/>
              <w:tr2bl w:val="nil"/>
            </w:tcBorders>
            <w:shd w:val="clear" w:color="auto" w:fill="auto"/>
            <w:vAlign w:val="center"/>
          </w:tcPr>
          <w:p w14:paraId="7666CDC1">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1F30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81" w:type="dxa"/>
            <w:tcBorders>
              <w:tl2br w:val="nil"/>
              <w:tr2bl w:val="nil"/>
            </w:tcBorders>
            <w:shd w:val="clear" w:color="auto" w:fill="auto"/>
            <w:vAlign w:val="center"/>
          </w:tcPr>
          <w:p w14:paraId="119FE16E">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80" w:type="dxa"/>
            <w:tcBorders>
              <w:tl2br w:val="nil"/>
              <w:tr2bl w:val="nil"/>
            </w:tcBorders>
            <w:shd w:val="clear" w:color="auto" w:fill="auto"/>
            <w:vAlign w:val="center"/>
          </w:tcPr>
          <w:p w14:paraId="411507E6">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5" w:type="dxa"/>
            <w:tcBorders>
              <w:tl2br w:val="nil"/>
              <w:tr2bl w:val="nil"/>
            </w:tcBorders>
            <w:shd w:val="clear" w:color="auto" w:fill="auto"/>
            <w:vAlign w:val="center"/>
          </w:tcPr>
          <w:p w14:paraId="3E2F45CE">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w:t>
            </w:r>
            <w:r>
              <w:rPr>
                <w:rFonts w:hint="eastAsia" w:ascii="宋体" w:hAnsi="宋体" w:eastAsia="宋体" w:cs="宋体"/>
                <w:kern w:val="0"/>
                <w:sz w:val="24"/>
                <w:szCs w:val="24"/>
                <w:lang w:val="en-US" w:eastAsia="zh-CN" w:bidi="ar"/>
              </w:rPr>
              <w:t>一般的得</w:t>
            </w:r>
            <w:r>
              <w:rPr>
                <w:rFonts w:ascii="宋体" w:hAnsi="宋体" w:eastAsia="宋体" w:cs="宋体"/>
                <w:kern w:val="0"/>
                <w:sz w:val="24"/>
                <w:szCs w:val="24"/>
                <w:lang w:val="en-US" w:eastAsia="zh-CN" w:bidi="ar"/>
              </w:rPr>
              <w:t>1分；未提供任何售后服务承诺的得0分。</w:t>
            </w:r>
          </w:p>
        </w:tc>
      </w:tr>
      <w:tr w14:paraId="5671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81" w:type="dxa"/>
            <w:tcBorders>
              <w:tl2br w:val="nil"/>
              <w:tr2bl w:val="nil"/>
            </w:tcBorders>
            <w:shd w:val="clear" w:color="auto" w:fill="auto"/>
            <w:vAlign w:val="center"/>
          </w:tcPr>
          <w:p w14:paraId="147D9505">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80" w:type="dxa"/>
            <w:tcBorders>
              <w:tl2br w:val="nil"/>
              <w:tr2bl w:val="nil"/>
            </w:tcBorders>
            <w:shd w:val="clear" w:color="auto" w:fill="auto"/>
            <w:vAlign w:val="center"/>
          </w:tcPr>
          <w:p w14:paraId="7AE49F6E">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5" w:type="dxa"/>
            <w:tcBorders>
              <w:tl2br w:val="nil"/>
              <w:tr2bl w:val="nil"/>
            </w:tcBorders>
            <w:shd w:val="clear" w:color="auto" w:fill="auto"/>
            <w:vAlign w:val="center"/>
          </w:tcPr>
          <w:p w14:paraId="050C7671">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46F0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81" w:type="dxa"/>
            <w:tcBorders>
              <w:tl2br w:val="nil"/>
              <w:tr2bl w:val="nil"/>
            </w:tcBorders>
            <w:shd w:val="clear" w:color="auto" w:fill="auto"/>
            <w:vAlign w:val="center"/>
          </w:tcPr>
          <w:p w14:paraId="036E6BF5">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80" w:type="dxa"/>
            <w:tcBorders>
              <w:tl2br w:val="nil"/>
              <w:tr2bl w:val="nil"/>
            </w:tcBorders>
            <w:shd w:val="clear" w:color="auto" w:fill="auto"/>
            <w:vAlign w:val="center"/>
          </w:tcPr>
          <w:p w14:paraId="00A9E659">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5" w:type="dxa"/>
            <w:tcBorders>
              <w:tl2br w:val="nil"/>
              <w:tr2bl w:val="nil"/>
            </w:tcBorders>
            <w:shd w:val="clear" w:color="auto" w:fill="auto"/>
            <w:vAlign w:val="center"/>
          </w:tcPr>
          <w:p w14:paraId="4C738D72">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54D59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81" w:type="dxa"/>
            <w:tcBorders>
              <w:tl2br w:val="nil"/>
              <w:tr2bl w:val="nil"/>
            </w:tcBorders>
            <w:shd w:val="clear" w:color="auto" w:fill="auto"/>
            <w:vAlign w:val="center"/>
          </w:tcPr>
          <w:p w14:paraId="7E104348">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80" w:type="dxa"/>
            <w:tcBorders>
              <w:tl2br w:val="nil"/>
              <w:tr2bl w:val="nil"/>
            </w:tcBorders>
            <w:shd w:val="clear" w:color="auto" w:fill="auto"/>
            <w:vAlign w:val="center"/>
          </w:tcPr>
          <w:p w14:paraId="71F8393D">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5" w:type="dxa"/>
            <w:tcBorders>
              <w:tl2br w:val="nil"/>
              <w:tr2bl w:val="nil"/>
            </w:tcBorders>
            <w:shd w:val="clear" w:color="auto" w:fill="auto"/>
            <w:vAlign w:val="center"/>
          </w:tcPr>
          <w:p w14:paraId="18126A35">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5FA1E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981" w:type="dxa"/>
            <w:tcBorders>
              <w:tl2br w:val="nil"/>
              <w:tr2bl w:val="nil"/>
            </w:tcBorders>
            <w:shd w:val="clear" w:color="auto" w:fill="auto"/>
            <w:vAlign w:val="center"/>
          </w:tcPr>
          <w:p w14:paraId="120C4ADB">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80" w:type="dxa"/>
            <w:tcBorders>
              <w:tl2br w:val="nil"/>
              <w:tr2bl w:val="nil"/>
            </w:tcBorders>
            <w:shd w:val="clear" w:color="auto" w:fill="auto"/>
            <w:vAlign w:val="center"/>
          </w:tcPr>
          <w:p w14:paraId="0A46C307">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5" w:type="dxa"/>
            <w:tcBorders>
              <w:tl2br w:val="nil"/>
              <w:tr2bl w:val="nil"/>
            </w:tcBorders>
            <w:shd w:val="clear" w:color="auto" w:fill="auto"/>
            <w:vAlign w:val="center"/>
          </w:tcPr>
          <w:p w14:paraId="55C1D796">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5FA517D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8AD5CB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FBEEFF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63ADC9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8DA919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97D8E4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13C8FE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568A43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36E7EB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530AEE3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4A18383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68FA8EE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01"/>
        <w:gridCol w:w="1139"/>
        <w:gridCol w:w="6080"/>
      </w:tblGrid>
      <w:tr w14:paraId="6425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294" w:hRule="atLeast"/>
          <w:tblHeader/>
        </w:trPr>
        <w:tc>
          <w:tcPr>
            <w:tcW w:w="1001" w:type="dxa"/>
            <w:tcBorders>
              <w:tl2br w:val="nil"/>
              <w:tr2bl w:val="nil"/>
            </w:tcBorders>
            <w:shd w:val="clear" w:color="auto" w:fill="auto"/>
            <w:vAlign w:val="center"/>
          </w:tcPr>
          <w:p w14:paraId="26A2543A">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39" w:type="dxa"/>
            <w:tcBorders>
              <w:tl2br w:val="nil"/>
              <w:tr2bl w:val="nil"/>
            </w:tcBorders>
            <w:shd w:val="clear" w:color="auto" w:fill="auto"/>
            <w:vAlign w:val="center"/>
          </w:tcPr>
          <w:p w14:paraId="502730DE">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80" w:type="dxa"/>
            <w:tcBorders>
              <w:tl2br w:val="nil"/>
              <w:tr2bl w:val="nil"/>
            </w:tcBorders>
            <w:shd w:val="clear" w:color="auto" w:fill="auto"/>
            <w:vAlign w:val="center"/>
          </w:tcPr>
          <w:p w14:paraId="67254838">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0030D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90" w:hRule="atLeast"/>
        </w:trPr>
        <w:tc>
          <w:tcPr>
            <w:tcW w:w="1001" w:type="dxa"/>
            <w:tcBorders>
              <w:tl2br w:val="nil"/>
              <w:tr2bl w:val="nil"/>
            </w:tcBorders>
            <w:shd w:val="clear" w:color="auto" w:fill="auto"/>
            <w:vAlign w:val="center"/>
          </w:tcPr>
          <w:p w14:paraId="42BD8BFB">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39" w:type="dxa"/>
            <w:tcBorders>
              <w:tl2br w:val="nil"/>
              <w:tr2bl w:val="nil"/>
            </w:tcBorders>
            <w:shd w:val="clear" w:color="auto" w:fill="auto"/>
            <w:vAlign w:val="center"/>
          </w:tcPr>
          <w:p w14:paraId="6588F4DE">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080" w:type="dxa"/>
            <w:tcBorders>
              <w:tl2br w:val="nil"/>
              <w:tr2bl w:val="nil"/>
            </w:tcBorders>
            <w:shd w:val="clear" w:color="auto" w:fill="auto"/>
            <w:vAlign w:val="center"/>
          </w:tcPr>
          <w:p w14:paraId="630590DF">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5FF1927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69CB19C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103991C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468652A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3C1B38C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B05D7FF">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6FFA1C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C05E28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3E2D0EB">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B7D798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AD0B172">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5B7D7A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57F9F4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1AF3D69">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F26238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321097A">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28B8134">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合同包5采用综合评分法</w:t>
      </w:r>
      <w:r>
        <w:rPr>
          <w:rFonts w:hint="eastAsia" w:ascii="宋体" w:hAnsi="宋体" w:eastAsia="宋体" w:cs="宋体"/>
          <w:color w:val="393939"/>
          <w:sz w:val="24"/>
          <w:szCs w:val="24"/>
          <w:shd w:val="clear" w:fill="FFFFFF"/>
        </w:rPr>
        <w:t>：</w:t>
      </w:r>
    </w:p>
    <w:p w14:paraId="5118831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7830F5B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0B10119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3D1DFC5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76DA3C7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4EC5855D">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5167D4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2A4DC44">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77F8329D">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482B76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72561B8E">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186772B4">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66E1116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2E1997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F5D4DD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FDA1FD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4F20C2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E2653B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0AAEDB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D5E73E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4F4392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20ACE19">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26CE58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F48D14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F10040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28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2"/>
        <w:gridCol w:w="1033"/>
        <w:gridCol w:w="6035"/>
      </w:tblGrid>
      <w:tr w14:paraId="7F66DEE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09" w:hRule="atLeast"/>
          <w:tblHeader/>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4909CFC0">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69A64E25">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3ED01BCD">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31A1E4D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937"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51A70B3B">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363B61CF">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5DCBC4CF">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5：“折叠床”参数要求的逐项响应、承诺的情况由评委进行评议评分，投标人所投产品完全满足招标文件技术规范及要求的得38分，有负偏离情况的，每负偏离一项扣3分，扣完为止，正偏离不加分。（满分38分）</w:t>
            </w:r>
          </w:p>
        </w:tc>
      </w:tr>
      <w:tr w14:paraId="6EB52B8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480"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6BF45132">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55CEC289">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05F3AB3D">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7FA015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966"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5D01E623">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56545534">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676C2E8E">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78E39CC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9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441B6043">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6EAD1B97">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71E0F13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21F546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9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04E75051">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35DB1909">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4F68FA5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17FFB5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9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103FB764">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15B01BE2">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139C9E67">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447CF9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18"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0DC798F4">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033" w:type="dxa"/>
            <w:tcBorders>
              <w:top w:val="outset" w:color="auto" w:sz="6" w:space="0"/>
              <w:left w:val="outset" w:color="auto" w:sz="6" w:space="0"/>
              <w:bottom w:val="outset" w:color="auto" w:sz="6" w:space="0"/>
              <w:right w:val="outset" w:color="auto" w:sz="6" w:space="0"/>
            </w:tcBorders>
            <w:shd w:val="clear" w:color="auto" w:fill="auto"/>
            <w:vAlign w:val="center"/>
          </w:tcPr>
          <w:p w14:paraId="2AE3038B">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035" w:type="dxa"/>
            <w:tcBorders>
              <w:top w:val="outset" w:color="auto" w:sz="6" w:space="0"/>
              <w:left w:val="outset" w:color="auto" w:sz="6" w:space="0"/>
              <w:bottom w:val="outset" w:color="auto" w:sz="6" w:space="0"/>
              <w:right w:val="outset" w:color="auto" w:sz="6" w:space="0"/>
            </w:tcBorders>
            <w:shd w:val="clear" w:color="auto" w:fill="auto"/>
            <w:vAlign w:val="center"/>
          </w:tcPr>
          <w:p w14:paraId="4E64E24E">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53B7E6E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238FB4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AA948F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644E56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42711D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231BD0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91"/>
        <w:gridCol w:w="1051"/>
        <w:gridCol w:w="6258"/>
      </w:tblGrid>
      <w:tr w14:paraId="6F93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1" w:hRule="atLeast"/>
          <w:tblHeader/>
        </w:trPr>
        <w:tc>
          <w:tcPr>
            <w:tcW w:w="991" w:type="dxa"/>
            <w:tcBorders>
              <w:tl2br w:val="nil"/>
              <w:tr2bl w:val="nil"/>
            </w:tcBorders>
            <w:shd w:val="clear" w:color="auto" w:fill="auto"/>
            <w:vAlign w:val="center"/>
          </w:tcPr>
          <w:p w14:paraId="3CC40377">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051" w:type="dxa"/>
            <w:tcBorders>
              <w:tl2br w:val="nil"/>
              <w:tr2bl w:val="nil"/>
            </w:tcBorders>
            <w:shd w:val="clear" w:color="auto" w:fill="auto"/>
            <w:vAlign w:val="center"/>
          </w:tcPr>
          <w:p w14:paraId="35B0477A">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258" w:type="dxa"/>
            <w:tcBorders>
              <w:tl2br w:val="nil"/>
              <w:tr2bl w:val="nil"/>
            </w:tcBorders>
            <w:shd w:val="clear" w:color="auto" w:fill="auto"/>
            <w:vAlign w:val="center"/>
          </w:tcPr>
          <w:p w14:paraId="79F47FFD">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58056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737" w:hRule="atLeast"/>
        </w:trPr>
        <w:tc>
          <w:tcPr>
            <w:tcW w:w="991" w:type="dxa"/>
            <w:tcBorders>
              <w:tl2br w:val="nil"/>
              <w:tr2bl w:val="nil"/>
            </w:tcBorders>
            <w:shd w:val="clear" w:color="auto" w:fill="auto"/>
            <w:vAlign w:val="center"/>
          </w:tcPr>
          <w:p w14:paraId="787C3E35">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51" w:type="dxa"/>
            <w:tcBorders>
              <w:tl2br w:val="nil"/>
              <w:tr2bl w:val="nil"/>
            </w:tcBorders>
            <w:shd w:val="clear" w:color="auto" w:fill="auto"/>
            <w:vAlign w:val="center"/>
          </w:tcPr>
          <w:p w14:paraId="5DE39CB7">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8" w:type="dxa"/>
            <w:tcBorders>
              <w:tl2br w:val="nil"/>
              <w:tr2bl w:val="nil"/>
            </w:tcBorders>
            <w:shd w:val="clear" w:color="auto" w:fill="auto"/>
            <w:vAlign w:val="center"/>
          </w:tcPr>
          <w:p w14:paraId="59397384">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5BCDF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33" w:hRule="atLeast"/>
        </w:trPr>
        <w:tc>
          <w:tcPr>
            <w:tcW w:w="991" w:type="dxa"/>
            <w:tcBorders>
              <w:tl2br w:val="nil"/>
              <w:tr2bl w:val="nil"/>
            </w:tcBorders>
            <w:shd w:val="clear" w:color="auto" w:fill="auto"/>
            <w:vAlign w:val="center"/>
          </w:tcPr>
          <w:p w14:paraId="319E1A67">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51" w:type="dxa"/>
            <w:tcBorders>
              <w:tl2br w:val="nil"/>
              <w:tr2bl w:val="nil"/>
            </w:tcBorders>
            <w:shd w:val="clear" w:color="auto" w:fill="auto"/>
            <w:vAlign w:val="center"/>
          </w:tcPr>
          <w:p w14:paraId="02638098">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8" w:type="dxa"/>
            <w:tcBorders>
              <w:tl2br w:val="nil"/>
              <w:tr2bl w:val="nil"/>
            </w:tcBorders>
            <w:shd w:val="clear" w:color="auto" w:fill="auto"/>
            <w:vAlign w:val="center"/>
          </w:tcPr>
          <w:p w14:paraId="2A3FA68E">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2899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714" w:hRule="atLeast"/>
        </w:trPr>
        <w:tc>
          <w:tcPr>
            <w:tcW w:w="991" w:type="dxa"/>
            <w:tcBorders>
              <w:tl2br w:val="nil"/>
              <w:tr2bl w:val="nil"/>
            </w:tcBorders>
            <w:shd w:val="clear" w:color="auto" w:fill="auto"/>
            <w:vAlign w:val="center"/>
          </w:tcPr>
          <w:p w14:paraId="274AED51">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51" w:type="dxa"/>
            <w:tcBorders>
              <w:tl2br w:val="nil"/>
              <w:tr2bl w:val="nil"/>
            </w:tcBorders>
            <w:shd w:val="clear" w:color="auto" w:fill="auto"/>
            <w:vAlign w:val="center"/>
          </w:tcPr>
          <w:p w14:paraId="5C601CFF">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8" w:type="dxa"/>
            <w:tcBorders>
              <w:tl2br w:val="nil"/>
              <w:tr2bl w:val="nil"/>
            </w:tcBorders>
            <w:shd w:val="clear" w:color="auto" w:fill="auto"/>
            <w:vAlign w:val="center"/>
          </w:tcPr>
          <w:p w14:paraId="1EF1260F">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w:t>
            </w:r>
            <w:r>
              <w:rPr>
                <w:rFonts w:hint="eastAsia" w:ascii="宋体" w:hAnsi="宋体" w:eastAsia="宋体" w:cs="宋体"/>
                <w:kern w:val="0"/>
                <w:sz w:val="24"/>
                <w:szCs w:val="24"/>
                <w:lang w:val="en-US" w:eastAsia="zh-CN" w:bidi="ar"/>
              </w:rPr>
              <w:t>一般的得</w:t>
            </w:r>
            <w:r>
              <w:rPr>
                <w:rFonts w:ascii="宋体" w:hAnsi="宋体" w:eastAsia="宋体" w:cs="宋体"/>
                <w:kern w:val="0"/>
                <w:sz w:val="24"/>
                <w:szCs w:val="24"/>
                <w:lang w:val="en-US" w:eastAsia="zh-CN" w:bidi="ar"/>
              </w:rPr>
              <w:t>1分；未提供任何售后服务承诺的得0分。</w:t>
            </w:r>
          </w:p>
        </w:tc>
      </w:tr>
      <w:tr w14:paraId="47FC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55" w:hRule="atLeast"/>
        </w:trPr>
        <w:tc>
          <w:tcPr>
            <w:tcW w:w="991" w:type="dxa"/>
            <w:tcBorders>
              <w:tl2br w:val="nil"/>
              <w:tr2bl w:val="nil"/>
            </w:tcBorders>
            <w:shd w:val="clear" w:color="auto" w:fill="auto"/>
            <w:vAlign w:val="center"/>
          </w:tcPr>
          <w:p w14:paraId="51F9D995">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51" w:type="dxa"/>
            <w:tcBorders>
              <w:tl2br w:val="nil"/>
              <w:tr2bl w:val="nil"/>
            </w:tcBorders>
            <w:shd w:val="clear" w:color="auto" w:fill="auto"/>
            <w:vAlign w:val="center"/>
          </w:tcPr>
          <w:p w14:paraId="76AD373D">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258" w:type="dxa"/>
            <w:tcBorders>
              <w:tl2br w:val="nil"/>
              <w:tr2bl w:val="nil"/>
            </w:tcBorders>
            <w:shd w:val="clear" w:color="auto" w:fill="auto"/>
            <w:vAlign w:val="center"/>
          </w:tcPr>
          <w:p w14:paraId="3DDB069A">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4C2E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692" w:hRule="atLeast"/>
        </w:trPr>
        <w:tc>
          <w:tcPr>
            <w:tcW w:w="991" w:type="dxa"/>
            <w:tcBorders>
              <w:tl2br w:val="nil"/>
              <w:tr2bl w:val="nil"/>
            </w:tcBorders>
            <w:shd w:val="clear" w:color="auto" w:fill="auto"/>
            <w:vAlign w:val="center"/>
          </w:tcPr>
          <w:p w14:paraId="644B359C">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51" w:type="dxa"/>
            <w:tcBorders>
              <w:tl2br w:val="nil"/>
              <w:tr2bl w:val="nil"/>
            </w:tcBorders>
            <w:shd w:val="clear" w:color="auto" w:fill="auto"/>
            <w:vAlign w:val="center"/>
          </w:tcPr>
          <w:p w14:paraId="0E1D5396">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8" w:type="dxa"/>
            <w:tcBorders>
              <w:tl2br w:val="nil"/>
              <w:tr2bl w:val="nil"/>
            </w:tcBorders>
            <w:shd w:val="clear" w:color="auto" w:fill="auto"/>
            <w:vAlign w:val="center"/>
          </w:tcPr>
          <w:p w14:paraId="121D6F38">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0A130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3" w:hRule="atLeast"/>
        </w:trPr>
        <w:tc>
          <w:tcPr>
            <w:tcW w:w="991" w:type="dxa"/>
            <w:tcBorders>
              <w:tl2br w:val="nil"/>
              <w:tr2bl w:val="nil"/>
            </w:tcBorders>
            <w:shd w:val="clear" w:color="auto" w:fill="auto"/>
            <w:vAlign w:val="center"/>
          </w:tcPr>
          <w:p w14:paraId="146D1A7C">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51" w:type="dxa"/>
            <w:tcBorders>
              <w:tl2br w:val="nil"/>
              <w:tr2bl w:val="nil"/>
            </w:tcBorders>
            <w:shd w:val="clear" w:color="auto" w:fill="auto"/>
            <w:vAlign w:val="center"/>
          </w:tcPr>
          <w:p w14:paraId="519FAF3B">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258" w:type="dxa"/>
            <w:tcBorders>
              <w:tl2br w:val="nil"/>
              <w:tr2bl w:val="nil"/>
            </w:tcBorders>
            <w:shd w:val="clear" w:color="auto" w:fill="auto"/>
            <w:vAlign w:val="center"/>
          </w:tcPr>
          <w:p w14:paraId="0DB2F6EB">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44BA4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44" w:hRule="atLeast"/>
        </w:trPr>
        <w:tc>
          <w:tcPr>
            <w:tcW w:w="991" w:type="dxa"/>
            <w:tcBorders>
              <w:tl2br w:val="nil"/>
              <w:tr2bl w:val="nil"/>
            </w:tcBorders>
            <w:shd w:val="clear" w:color="auto" w:fill="auto"/>
            <w:vAlign w:val="center"/>
          </w:tcPr>
          <w:p w14:paraId="523F01B6">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51" w:type="dxa"/>
            <w:tcBorders>
              <w:tl2br w:val="nil"/>
              <w:tr2bl w:val="nil"/>
            </w:tcBorders>
            <w:shd w:val="clear" w:color="auto" w:fill="auto"/>
            <w:vAlign w:val="center"/>
          </w:tcPr>
          <w:p w14:paraId="191B51D6">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258" w:type="dxa"/>
            <w:tcBorders>
              <w:tl2br w:val="nil"/>
              <w:tr2bl w:val="nil"/>
            </w:tcBorders>
            <w:shd w:val="clear" w:color="auto" w:fill="auto"/>
            <w:vAlign w:val="center"/>
          </w:tcPr>
          <w:p w14:paraId="523E05B4">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1D9BBB9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894E8C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CB0308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948E58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EAF7DC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6C1A441">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9307409">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2CDC5FB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1D7AB72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031A91B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55"/>
        <w:gridCol w:w="1147"/>
        <w:gridCol w:w="6458"/>
      </w:tblGrid>
      <w:tr w14:paraId="10EC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tblHeader/>
        </w:trPr>
        <w:tc>
          <w:tcPr>
            <w:tcW w:w="1055" w:type="dxa"/>
            <w:tcBorders>
              <w:tl2br w:val="nil"/>
              <w:tr2bl w:val="nil"/>
            </w:tcBorders>
            <w:shd w:val="clear" w:color="auto" w:fill="auto"/>
            <w:vAlign w:val="center"/>
          </w:tcPr>
          <w:p w14:paraId="4C615F1D">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47" w:type="dxa"/>
            <w:tcBorders>
              <w:tl2br w:val="nil"/>
              <w:tr2bl w:val="nil"/>
            </w:tcBorders>
            <w:shd w:val="clear" w:color="auto" w:fill="auto"/>
            <w:vAlign w:val="center"/>
          </w:tcPr>
          <w:p w14:paraId="3569107E">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458" w:type="dxa"/>
            <w:tcBorders>
              <w:tl2br w:val="nil"/>
              <w:tr2bl w:val="nil"/>
            </w:tcBorders>
            <w:shd w:val="clear" w:color="auto" w:fill="auto"/>
            <w:vAlign w:val="center"/>
          </w:tcPr>
          <w:p w14:paraId="26FC55BD">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010A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266" w:hRule="atLeast"/>
        </w:trPr>
        <w:tc>
          <w:tcPr>
            <w:tcW w:w="1055" w:type="dxa"/>
            <w:tcBorders>
              <w:tl2br w:val="nil"/>
              <w:tr2bl w:val="nil"/>
            </w:tcBorders>
            <w:shd w:val="clear" w:color="auto" w:fill="auto"/>
            <w:vAlign w:val="center"/>
          </w:tcPr>
          <w:p w14:paraId="5301EDBE">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47" w:type="dxa"/>
            <w:tcBorders>
              <w:tl2br w:val="nil"/>
              <w:tr2bl w:val="nil"/>
            </w:tcBorders>
            <w:shd w:val="clear" w:color="auto" w:fill="auto"/>
            <w:vAlign w:val="center"/>
          </w:tcPr>
          <w:p w14:paraId="7FE360B8">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458" w:type="dxa"/>
            <w:tcBorders>
              <w:tl2br w:val="nil"/>
              <w:tr2bl w:val="nil"/>
            </w:tcBorders>
            <w:shd w:val="clear" w:color="auto" w:fill="auto"/>
            <w:vAlign w:val="center"/>
          </w:tcPr>
          <w:p w14:paraId="39F55A26">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098D56C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595B5AE7">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79E5EC90">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23C22BE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79FB0DC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448A53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7D55FFF">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67551B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A216F4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F1CEFA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4A3B7EA">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F8718C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6AA400A">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E4D844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D797E7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B68B36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56B5CA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2FAA55D">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564EA2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C6CB27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8ECA0A9">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合同包6采用综合评分法</w:t>
      </w:r>
      <w:r>
        <w:rPr>
          <w:rFonts w:hint="eastAsia" w:ascii="宋体" w:hAnsi="宋体" w:eastAsia="宋体" w:cs="宋体"/>
          <w:color w:val="393939"/>
          <w:sz w:val="24"/>
          <w:szCs w:val="24"/>
          <w:shd w:val="clear" w:fill="FFFFFF"/>
        </w:rPr>
        <w:t>：</w:t>
      </w:r>
    </w:p>
    <w:p w14:paraId="1FE97DE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5850972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1836B0D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1A015B3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D23C49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274B8CC3">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5A21217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83CBF7F">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4292BF54">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7D2D41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382C44D8">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6574563C">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0ADF0F9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68892F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48C453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F6CB2E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B5D993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D251C7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2AA05D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32ABBE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0E32044">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D8A98C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D9FEA7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DE3CC1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6A59F4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28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08"/>
        <w:gridCol w:w="1156"/>
        <w:gridCol w:w="5916"/>
      </w:tblGrid>
      <w:tr w14:paraId="143D112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54" w:hRule="atLeast"/>
          <w:tblHeader/>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3273A069">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5A2C8D2F">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674001F8">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1007EC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197"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1514A23D">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21DEBF91">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5E12A0E3">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6：“雨衣雨靴”参数要求的逐项响应、承诺的情况由评委进行评议评分，投标人所投产品完全满足招标文件技术规范及要求的得38分，有负偏离情况的，每负偏离一项扣3分，扣完为止，正偏离不加分。（满分38分）</w:t>
            </w:r>
          </w:p>
        </w:tc>
      </w:tr>
      <w:tr w14:paraId="3147AF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11"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02B0D5B5">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0F59350E">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6C0A6D60">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6FC7FBE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140"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73EBCB0E">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02AC5F2F">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5E8699BD">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364C87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82"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3414EA2F">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57544802">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63ABBD47">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64E0D5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2"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15C332D5">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794C3D71">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7258711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5C6706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2"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00EAE1E1">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1218F7E1">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2686DBF0">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77F52CB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08" w:hRule="atLeast"/>
        </w:trPr>
        <w:tc>
          <w:tcPr>
            <w:tcW w:w="1208" w:type="dxa"/>
            <w:tcBorders>
              <w:top w:val="outset" w:color="auto" w:sz="6" w:space="0"/>
              <w:left w:val="outset" w:color="auto" w:sz="6" w:space="0"/>
              <w:bottom w:val="outset" w:color="auto" w:sz="6" w:space="0"/>
              <w:right w:val="outset" w:color="auto" w:sz="6" w:space="0"/>
            </w:tcBorders>
            <w:shd w:val="clear" w:color="auto" w:fill="auto"/>
            <w:vAlign w:val="center"/>
          </w:tcPr>
          <w:p w14:paraId="18692D26">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156" w:type="dxa"/>
            <w:tcBorders>
              <w:top w:val="outset" w:color="auto" w:sz="6" w:space="0"/>
              <w:left w:val="outset" w:color="auto" w:sz="6" w:space="0"/>
              <w:bottom w:val="outset" w:color="auto" w:sz="6" w:space="0"/>
              <w:right w:val="outset" w:color="auto" w:sz="6" w:space="0"/>
            </w:tcBorders>
            <w:shd w:val="clear" w:color="auto" w:fill="auto"/>
            <w:vAlign w:val="center"/>
          </w:tcPr>
          <w:p w14:paraId="4B3C0E81">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16" w:type="dxa"/>
            <w:tcBorders>
              <w:top w:val="outset" w:color="auto" w:sz="6" w:space="0"/>
              <w:left w:val="outset" w:color="auto" w:sz="6" w:space="0"/>
              <w:bottom w:val="outset" w:color="auto" w:sz="6" w:space="0"/>
              <w:right w:val="outset" w:color="auto" w:sz="6" w:space="0"/>
            </w:tcBorders>
            <w:shd w:val="clear" w:color="auto" w:fill="auto"/>
            <w:vAlign w:val="center"/>
          </w:tcPr>
          <w:p w14:paraId="077E1652">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17925281">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318647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21A802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6550DA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908414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46"/>
        <w:gridCol w:w="1005"/>
        <w:gridCol w:w="6165"/>
      </w:tblGrid>
      <w:tr w14:paraId="5B92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1146" w:type="dxa"/>
            <w:tcBorders>
              <w:tl2br w:val="nil"/>
              <w:tr2bl w:val="nil"/>
            </w:tcBorders>
            <w:shd w:val="clear" w:color="auto" w:fill="auto"/>
            <w:vAlign w:val="center"/>
          </w:tcPr>
          <w:p w14:paraId="3062E0BA">
            <w:pPr>
              <w:keepNext w:val="0"/>
              <w:keepLines w:val="0"/>
              <w:widowControl/>
              <w:suppressLineNumbers w:val="0"/>
              <w:jc w:val="left"/>
            </w:pPr>
            <w:r>
              <w:rPr>
                <w:rFonts w:ascii="宋体" w:hAnsi="宋体" w:eastAsia="宋体" w:cs="宋体"/>
                <w:kern w:val="0"/>
                <w:sz w:val="24"/>
                <w:szCs w:val="24"/>
                <w:lang w:val="en-US" w:eastAsia="zh-CN" w:bidi="ar"/>
              </w:rPr>
              <w:t>评标项目</w:t>
            </w:r>
          </w:p>
        </w:tc>
        <w:tc>
          <w:tcPr>
            <w:tcW w:w="1005" w:type="dxa"/>
            <w:tcBorders>
              <w:tl2br w:val="nil"/>
              <w:tr2bl w:val="nil"/>
            </w:tcBorders>
            <w:shd w:val="clear" w:color="auto" w:fill="auto"/>
            <w:vAlign w:val="center"/>
          </w:tcPr>
          <w:p w14:paraId="54A76B14">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65" w:type="dxa"/>
            <w:tcBorders>
              <w:tl2br w:val="nil"/>
              <w:tr2bl w:val="nil"/>
            </w:tcBorders>
            <w:shd w:val="clear" w:color="auto" w:fill="auto"/>
            <w:vAlign w:val="center"/>
          </w:tcPr>
          <w:p w14:paraId="69F03F52">
            <w:pPr>
              <w:keepNext w:val="0"/>
              <w:keepLines w:val="0"/>
              <w:widowControl/>
              <w:suppressLineNumbers w:val="0"/>
              <w:jc w:val="left"/>
            </w:pPr>
            <w:r>
              <w:rPr>
                <w:rFonts w:ascii="宋体" w:hAnsi="宋体" w:eastAsia="宋体" w:cs="宋体"/>
                <w:kern w:val="0"/>
                <w:sz w:val="24"/>
                <w:szCs w:val="24"/>
                <w:lang w:val="en-US" w:eastAsia="zh-CN" w:bidi="ar"/>
              </w:rPr>
              <w:t>评标方法描述</w:t>
            </w:r>
          </w:p>
        </w:tc>
      </w:tr>
      <w:tr w14:paraId="40C07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147A420D">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1005" w:type="dxa"/>
            <w:tcBorders>
              <w:tl2br w:val="nil"/>
              <w:tr2bl w:val="nil"/>
            </w:tcBorders>
            <w:shd w:val="clear" w:color="auto" w:fill="auto"/>
            <w:vAlign w:val="center"/>
          </w:tcPr>
          <w:p w14:paraId="06DA5EAB">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165" w:type="dxa"/>
            <w:tcBorders>
              <w:tl2br w:val="nil"/>
              <w:tr2bl w:val="nil"/>
            </w:tcBorders>
            <w:shd w:val="clear" w:color="auto" w:fill="auto"/>
            <w:vAlign w:val="center"/>
          </w:tcPr>
          <w:p w14:paraId="62607A73">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4BF8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58AC507B">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1005" w:type="dxa"/>
            <w:tcBorders>
              <w:tl2br w:val="nil"/>
              <w:tr2bl w:val="nil"/>
            </w:tcBorders>
            <w:shd w:val="clear" w:color="auto" w:fill="auto"/>
            <w:vAlign w:val="center"/>
          </w:tcPr>
          <w:p w14:paraId="4EBF1E95">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165" w:type="dxa"/>
            <w:tcBorders>
              <w:tl2br w:val="nil"/>
              <w:tr2bl w:val="nil"/>
            </w:tcBorders>
            <w:shd w:val="clear" w:color="auto" w:fill="auto"/>
            <w:vAlign w:val="center"/>
          </w:tcPr>
          <w:p w14:paraId="444EE8EE">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7DEA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1042BC95">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1005" w:type="dxa"/>
            <w:tcBorders>
              <w:tl2br w:val="nil"/>
              <w:tr2bl w:val="nil"/>
            </w:tcBorders>
            <w:shd w:val="clear" w:color="auto" w:fill="auto"/>
            <w:vAlign w:val="center"/>
          </w:tcPr>
          <w:p w14:paraId="1DC8E84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165" w:type="dxa"/>
            <w:tcBorders>
              <w:tl2br w:val="nil"/>
              <w:tr2bl w:val="nil"/>
            </w:tcBorders>
            <w:shd w:val="clear" w:color="auto" w:fill="auto"/>
            <w:vAlign w:val="center"/>
          </w:tcPr>
          <w:p w14:paraId="3CE721A1">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w:t>
            </w:r>
            <w:r>
              <w:rPr>
                <w:rFonts w:hint="eastAsia" w:ascii="宋体" w:hAnsi="宋体" w:eastAsia="宋体" w:cs="宋体"/>
                <w:kern w:val="0"/>
                <w:sz w:val="24"/>
                <w:szCs w:val="24"/>
                <w:lang w:val="en-US" w:eastAsia="zh-CN" w:bidi="ar"/>
              </w:rPr>
              <w:t>一般的得</w:t>
            </w:r>
            <w:r>
              <w:rPr>
                <w:rFonts w:ascii="宋体" w:hAnsi="宋体" w:eastAsia="宋体" w:cs="宋体"/>
                <w:kern w:val="0"/>
                <w:sz w:val="24"/>
                <w:szCs w:val="24"/>
                <w:lang w:val="en-US" w:eastAsia="zh-CN" w:bidi="ar"/>
              </w:rPr>
              <w:t>1分；未提供任何售后服务承诺的得0分。</w:t>
            </w:r>
          </w:p>
        </w:tc>
      </w:tr>
      <w:tr w14:paraId="0D23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44A8597E">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1005" w:type="dxa"/>
            <w:tcBorders>
              <w:tl2br w:val="nil"/>
              <w:tr2bl w:val="nil"/>
            </w:tcBorders>
            <w:shd w:val="clear" w:color="auto" w:fill="auto"/>
            <w:vAlign w:val="center"/>
          </w:tcPr>
          <w:p w14:paraId="5908A647">
            <w:pPr>
              <w:keepNext w:val="0"/>
              <w:keepLines w:val="0"/>
              <w:widowControl/>
              <w:suppressLineNumbers w:val="0"/>
              <w:jc w:val="center"/>
            </w:pPr>
            <w:r>
              <w:rPr>
                <w:rFonts w:ascii="宋体" w:hAnsi="宋体" w:eastAsia="宋体" w:cs="宋体"/>
                <w:kern w:val="0"/>
                <w:sz w:val="24"/>
                <w:szCs w:val="24"/>
                <w:lang w:val="en-US" w:eastAsia="zh-CN" w:bidi="ar"/>
              </w:rPr>
              <w:t>3</w:t>
            </w:r>
          </w:p>
        </w:tc>
        <w:tc>
          <w:tcPr>
            <w:tcW w:w="6165" w:type="dxa"/>
            <w:tcBorders>
              <w:tl2br w:val="nil"/>
              <w:tr2bl w:val="nil"/>
            </w:tcBorders>
            <w:shd w:val="clear" w:color="auto" w:fill="auto"/>
            <w:vAlign w:val="center"/>
          </w:tcPr>
          <w:p w14:paraId="69A7DFC6">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6584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21D43DEA">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1005" w:type="dxa"/>
            <w:tcBorders>
              <w:tl2br w:val="nil"/>
              <w:tr2bl w:val="nil"/>
            </w:tcBorders>
            <w:shd w:val="clear" w:color="auto" w:fill="auto"/>
            <w:vAlign w:val="center"/>
          </w:tcPr>
          <w:p w14:paraId="60372FFC">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165" w:type="dxa"/>
            <w:tcBorders>
              <w:tl2br w:val="nil"/>
              <w:tr2bl w:val="nil"/>
            </w:tcBorders>
            <w:shd w:val="clear" w:color="auto" w:fill="auto"/>
            <w:vAlign w:val="center"/>
          </w:tcPr>
          <w:p w14:paraId="334260E3">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631D8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55EBF3FE">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1005" w:type="dxa"/>
            <w:tcBorders>
              <w:tl2br w:val="nil"/>
              <w:tr2bl w:val="nil"/>
            </w:tcBorders>
            <w:shd w:val="clear" w:color="auto" w:fill="auto"/>
            <w:vAlign w:val="center"/>
          </w:tcPr>
          <w:p w14:paraId="5D06E868">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165" w:type="dxa"/>
            <w:tcBorders>
              <w:tl2br w:val="nil"/>
              <w:tr2bl w:val="nil"/>
            </w:tcBorders>
            <w:shd w:val="clear" w:color="auto" w:fill="auto"/>
            <w:vAlign w:val="center"/>
          </w:tcPr>
          <w:p w14:paraId="5A89EA0E">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326E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4F532D52">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1005" w:type="dxa"/>
            <w:tcBorders>
              <w:tl2br w:val="nil"/>
              <w:tr2bl w:val="nil"/>
            </w:tcBorders>
            <w:shd w:val="clear" w:color="auto" w:fill="auto"/>
            <w:vAlign w:val="center"/>
          </w:tcPr>
          <w:p w14:paraId="79457365">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165" w:type="dxa"/>
            <w:tcBorders>
              <w:tl2br w:val="nil"/>
              <w:tr2bl w:val="nil"/>
            </w:tcBorders>
            <w:shd w:val="clear" w:color="auto" w:fill="auto"/>
            <w:vAlign w:val="center"/>
          </w:tcPr>
          <w:p w14:paraId="72C809BB">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07F9ADF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D91CD3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450BAC2">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F43A2A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A5100D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28CD3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96B23B1">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347F1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558A60B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3D92E4B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653879C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5"/>
        <w:gridCol w:w="1205"/>
        <w:gridCol w:w="6120"/>
      </w:tblGrid>
      <w:tr w14:paraId="0DD1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88" w:hRule="atLeast"/>
          <w:tblHeader/>
        </w:trPr>
        <w:tc>
          <w:tcPr>
            <w:tcW w:w="1015" w:type="dxa"/>
            <w:tcBorders>
              <w:tl2br w:val="nil"/>
              <w:tr2bl w:val="nil"/>
            </w:tcBorders>
            <w:shd w:val="clear" w:color="auto" w:fill="auto"/>
            <w:vAlign w:val="center"/>
          </w:tcPr>
          <w:p w14:paraId="46D52575">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205" w:type="dxa"/>
            <w:tcBorders>
              <w:tl2br w:val="nil"/>
              <w:tr2bl w:val="nil"/>
            </w:tcBorders>
            <w:shd w:val="clear" w:color="auto" w:fill="auto"/>
            <w:vAlign w:val="center"/>
          </w:tcPr>
          <w:p w14:paraId="7EF76CA0">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20" w:type="dxa"/>
            <w:tcBorders>
              <w:tl2br w:val="nil"/>
              <w:tr2bl w:val="nil"/>
            </w:tcBorders>
            <w:shd w:val="clear" w:color="auto" w:fill="auto"/>
            <w:vAlign w:val="center"/>
          </w:tcPr>
          <w:p w14:paraId="4B0E48E3">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4A10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585" w:hRule="atLeast"/>
        </w:trPr>
        <w:tc>
          <w:tcPr>
            <w:tcW w:w="1015" w:type="dxa"/>
            <w:tcBorders>
              <w:tl2br w:val="nil"/>
              <w:tr2bl w:val="nil"/>
            </w:tcBorders>
            <w:shd w:val="clear" w:color="auto" w:fill="auto"/>
            <w:vAlign w:val="center"/>
          </w:tcPr>
          <w:p w14:paraId="044BBD22">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205" w:type="dxa"/>
            <w:tcBorders>
              <w:tl2br w:val="nil"/>
              <w:tr2bl w:val="nil"/>
            </w:tcBorders>
            <w:shd w:val="clear" w:color="auto" w:fill="auto"/>
            <w:vAlign w:val="center"/>
          </w:tcPr>
          <w:p w14:paraId="42BF6014">
            <w:pPr>
              <w:keepNext w:val="0"/>
              <w:keepLines w:val="0"/>
              <w:widowControl/>
              <w:suppressLineNumbers w:val="0"/>
              <w:jc w:val="left"/>
            </w:pPr>
            <w:r>
              <w:rPr>
                <w:rFonts w:ascii="宋体" w:hAnsi="宋体" w:eastAsia="宋体" w:cs="宋体"/>
                <w:kern w:val="0"/>
                <w:sz w:val="24"/>
                <w:szCs w:val="24"/>
                <w:lang w:val="en-US" w:eastAsia="zh-CN" w:bidi="ar"/>
              </w:rPr>
              <w:t>6.8</w:t>
            </w:r>
          </w:p>
        </w:tc>
        <w:tc>
          <w:tcPr>
            <w:tcW w:w="6120" w:type="dxa"/>
            <w:tcBorders>
              <w:tl2br w:val="nil"/>
              <w:tr2bl w:val="nil"/>
            </w:tcBorders>
            <w:shd w:val="clear" w:color="auto" w:fill="auto"/>
            <w:vAlign w:val="center"/>
          </w:tcPr>
          <w:p w14:paraId="4FE3AFEF">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429A400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360289D9">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3A22DDBF">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47AB406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2DFCDDB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FF89505">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C6D30D0">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0141D42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9360FB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73B382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7998A54">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A25D28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1075996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62995E9C">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2F6E03B3">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80A5677">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40AA57E">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4F7E68B6">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3369F868">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7B0E3DC1">
      <w:pPr>
        <w:pStyle w:val="5"/>
        <w:keepNext w:val="0"/>
        <w:keepLines w:val="0"/>
        <w:widowControl/>
        <w:suppressLineNumbers w:val="0"/>
        <w:shd w:val="clear" w:fill="FFFFFF"/>
        <w:spacing w:before="0" w:beforeAutospacing="0" w:after="150" w:afterAutospacing="0"/>
        <w:ind w:left="0" w:right="0"/>
        <w:rPr>
          <w:rStyle w:val="8"/>
          <w:rFonts w:hint="eastAsia" w:ascii="宋体" w:hAnsi="宋体" w:eastAsia="宋体" w:cs="宋体"/>
          <w:b/>
          <w:color w:val="393939"/>
          <w:sz w:val="24"/>
          <w:szCs w:val="24"/>
          <w:shd w:val="clear" w:fill="FFFFFF"/>
        </w:rPr>
      </w:pPr>
    </w:p>
    <w:p w14:paraId="5B18A794">
      <w:pPr>
        <w:pStyle w:val="5"/>
        <w:keepNext w:val="0"/>
        <w:keepLines w:val="0"/>
        <w:widowControl/>
        <w:suppressLineNumbers w:val="0"/>
        <w:shd w:val="clear" w:fill="FFFFFF"/>
        <w:spacing w:before="0" w:beforeAutospacing="0" w:after="150" w:afterAutospacing="0"/>
        <w:ind w:left="0" w:right="0"/>
        <w:rPr>
          <w:rFonts w:hint="eastAsia" w:ascii="微软雅黑" w:hAnsi="微软雅黑" w:eastAsia="微软雅黑" w:cs="微软雅黑"/>
          <w:color w:val="393939"/>
          <w:sz w:val="19"/>
          <w:szCs w:val="19"/>
        </w:rPr>
      </w:pPr>
      <w:r>
        <w:rPr>
          <w:rStyle w:val="8"/>
          <w:rFonts w:hint="eastAsia" w:ascii="宋体" w:hAnsi="宋体" w:eastAsia="宋体" w:cs="宋体"/>
          <w:b/>
          <w:color w:val="393939"/>
          <w:sz w:val="24"/>
          <w:szCs w:val="24"/>
          <w:shd w:val="clear" w:fill="FFFFFF"/>
        </w:rPr>
        <w:t>合同包7采用综合评分法</w:t>
      </w:r>
      <w:r>
        <w:rPr>
          <w:rFonts w:hint="eastAsia" w:ascii="宋体" w:hAnsi="宋体" w:eastAsia="宋体" w:cs="宋体"/>
          <w:color w:val="393939"/>
          <w:sz w:val="24"/>
          <w:szCs w:val="24"/>
          <w:shd w:val="clear" w:fill="FFFFFF"/>
        </w:rPr>
        <w:t>：</w:t>
      </w:r>
    </w:p>
    <w:p w14:paraId="4645893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（1）投标文件满足招标文件全部实质性要求，且按照评审因素的量化指标评审得分（即评标总得分）最高的投标人为中标候选人。</w:t>
      </w:r>
    </w:p>
    <w:p w14:paraId="1F168D6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（2）每个投标人的评标总得分</w:t>
      </w:r>
      <w:r>
        <w:rPr>
          <w:rFonts w:hint="default" w:ascii="Calibri" w:hAnsi="Calibri" w:eastAsia="宋体" w:cs="Calibri"/>
          <w:sz w:val="24"/>
          <w:szCs w:val="24"/>
        </w:rPr>
        <w:t>FA</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（若有），其中：</w:t>
      </w:r>
      <w:r>
        <w:rPr>
          <w:rFonts w:hint="default" w:ascii="Calibri" w:hAnsi="Calibri" w:eastAsia="宋体" w:cs="Calibri"/>
          <w:sz w:val="24"/>
          <w:szCs w:val="24"/>
        </w:rPr>
        <w:t>F1</w:t>
      </w:r>
      <w:r>
        <w:rPr>
          <w:rFonts w:hint="eastAsia" w:ascii="宋体" w:hAnsi="宋体" w:eastAsia="宋体" w:cs="宋体"/>
          <w:sz w:val="24"/>
          <w:szCs w:val="24"/>
        </w:rPr>
        <w:t>指价格项评审因素得分、</w:t>
      </w:r>
      <w:r>
        <w:rPr>
          <w:rFonts w:hint="default" w:ascii="Calibri" w:hAnsi="Calibri" w:eastAsia="宋体" w:cs="Calibri"/>
          <w:sz w:val="24"/>
          <w:szCs w:val="24"/>
        </w:rPr>
        <w:t>F2</w:t>
      </w:r>
      <w:r>
        <w:rPr>
          <w:rFonts w:hint="eastAsia" w:ascii="宋体" w:hAnsi="宋体" w:eastAsia="宋体" w:cs="宋体"/>
          <w:sz w:val="24"/>
          <w:szCs w:val="24"/>
        </w:rPr>
        <w:t>指技术项评审因素得分、</w:t>
      </w:r>
      <w:r>
        <w:rPr>
          <w:rFonts w:hint="default" w:ascii="Calibri" w:hAnsi="Calibri" w:eastAsia="宋体" w:cs="Calibri"/>
          <w:sz w:val="24"/>
          <w:szCs w:val="24"/>
        </w:rPr>
        <w:t>F3</w:t>
      </w:r>
      <w:r>
        <w:rPr>
          <w:rFonts w:hint="eastAsia" w:ascii="宋体" w:hAnsi="宋体" w:eastAsia="宋体" w:cs="宋体"/>
          <w:sz w:val="24"/>
          <w:szCs w:val="24"/>
        </w:rPr>
        <w:t>指商务项评审因素得分，</w:t>
      </w:r>
      <w:r>
        <w:rPr>
          <w:rFonts w:hint="default" w:ascii="Calibri" w:hAnsi="Calibri" w:eastAsia="宋体" w:cs="Calibri"/>
          <w:sz w:val="24"/>
          <w:szCs w:val="24"/>
        </w:rPr>
        <w:t>A1</w:t>
      </w:r>
      <w:r>
        <w:rPr>
          <w:rFonts w:hint="eastAsia" w:ascii="宋体" w:hAnsi="宋体" w:eastAsia="宋体" w:cs="宋体"/>
          <w:sz w:val="24"/>
          <w:szCs w:val="24"/>
        </w:rPr>
        <w:t>指价格项评审因素所占的权重、</w:t>
      </w:r>
      <w:r>
        <w:rPr>
          <w:rFonts w:hint="default" w:ascii="Calibri" w:hAnsi="Calibri" w:eastAsia="宋体" w:cs="Calibri"/>
          <w:sz w:val="24"/>
          <w:szCs w:val="24"/>
        </w:rPr>
        <w:t>A2</w:t>
      </w:r>
      <w:r>
        <w:rPr>
          <w:rFonts w:hint="eastAsia" w:ascii="宋体" w:hAnsi="宋体" w:eastAsia="宋体" w:cs="宋体"/>
          <w:sz w:val="24"/>
          <w:szCs w:val="24"/>
        </w:rPr>
        <w:t>指技术项评审因素所占的权重、</w:t>
      </w:r>
      <w:r>
        <w:rPr>
          <w:rFonts w:hint="default" w:ascii="Calibri" w:hAnsi="Calibri" w:eastAsia="宋体" w:cs="Calibri"/>
          <w:sz w:val="24"/>
          <w:szCs w:val="24"/>
        </w:rPr>
        <w:t>A3</w:t>
      </w:r>
      <w:r>
        <w:rPr>
          <w:rFonts w:hint="eastAsia" w:ascii="宋体" w:hAnsi="宋体" w:eastAsia="宋体" w:cs="宋体"/>
          <w:sz w:val="24"/>
          <w:szCs w:val="24"/>
        </w:rPr>
        <w:t>指商务项评审因素所占的权重，</w:t>
      </w:r>
      <w:r>
        <w:rPr>
          <w:rFonts w:hint="default" w:ascii="Calibri" w:hAnsi="Calibri" w:eastAsia="宋体" w:cs="Calibri"/>
          <w:sz w:val="24"/>
          <w:szCs w:val="24"/>
        </w:rPr>
        <w:t>A1+A2+A3=1</w:t>
      </w:r>
      <w:r>
        <w:rPr>
          <w:rFonts w:hint="eastAsia" w:ascii="宋体" w:hAnsi="宋体" w:eastAsia="宋体" w:cs="宋体"/>
          <w:sz w:val="24"/>
          <w:szCs w:val="24"/>
        </w:rPr>
        <w:t>、</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A3=100</w:t>
      </w:r>
      <w:r>
        <w:rPr>
          <w:rFonts w:hint="eastAsia" w:ascii="宋体" w:hAnsi="宋体" w:eastAsia="宋体" w:cs="宋体"/>
          <w:sz w:val="24"/>
          <w:szCs w:val="24"/>
        </w:rPr>
        <w:t>分（满分时），</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为加分项（即优先类节能产品、环境标志产品在采购活动中可享有的加分优惠）。</w:t>
      </w:r>
    </w:p>
    <w:p w14:paraId="1F8D69B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（3）各项评审因素的设置如下：</w:t>
      </w:r>
    </w:p>
    <w:p w14:paraId="0F53700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①价格项（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）满分为</w:t>
      </w:r>
      <w:r>
        <w:rPr>
          <w:rFonts w:hint="eastAsia" w:ascii="宋体" w:hAnsi="宋体" w:eastAsia="宋体" w:cs="宋体"/>
          <w:sz w:val="24"/>
          <w:szCs w:val="24"/>
          <w:u w:val="single"/>
        </w:rPr>
        <w:t>30</w:t>
      </w:r>
      <w:r>
        <w:rPr>
          <w:rFonts w:hint="eastAsia" w:ascii="宋体" w:hAnsi="宋体" w:eastAsia="宋体" w:cs="宋体"/>
          <w:sz w:val="24"/>
          <w:szCs w:val="24"/>
        </w:rPr>
        <w:t>分。</w:t>
      </w:r>
    </w:p>
    <w:p w14:paraId="01D53160">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a.价格分采用低价优先法计算，即满足招标文件要求且投标价格最低的投标报价为评标基准价，其价格分为满分。其他投标人的价格分统一按照下列公式计算：投标报价得分</w:t>
      </w:r>
      <w:r>
        <w:rPr>
          <w:rFonts w:hint="default" w:ascii="Calibri" w:hAnsi="Calibri" w:eastAsia="宋体" w:cs="Calibri"/>
          <w:sz w:val="24"/>
          <w:szCs w:val="24"/>
        </w:rPr>
        <w:t>=</w:t>
      </w:r>
      <w:r>
        <w:rPr>
          <w:rFonts w:hint="eastAsia" w:ascii="宋体" w:hAnsi="宋体" w:eastAsia="宋体" w:cs="宋体"/>
          <w:sz w:val="24"/>
          <w:szCs w:val="24"/>
        </w:rPr>
        <w:t>（评标基准价／投标报价）×</w:t>
      </w:r>
      <w:r>
        <w:rPr>
          <w:rFonts w:hint="default" w:ascii="Calibri" w:hAnsi="Calibri" w:eastAsia="宋体" w:cs="Calibri"/>
          <w:sz w:val="24"/>
          <w:szCs w:val="24"/>
        </w:rPr>
        <w:t>100</w:t>
      </w:r>
      <w:r>
        <w:rPr>
          <w:rFonts w:hint="eastAsia" w:ascii="宋体" w:hAnsi="宋体" w:eastAsia="宋体" w:cs="宋体"/>
          <w:sz w:val="24"/>
          <w:szCs w:val="24"/>
        </w:rPr>
        <w:t>。因落实政府采购政策需进行价格扣除的，以扣除后的价格计算评标基准价和投标报价。</w:t>
      </w:r>
    </w:p>
    <w:p w14:paraId="14105F45">
      <w:pPr>
        <w:pStyle w:val="5"/>
        <w:keepNext w:val="0"/>
        <w:keepLines w:val="0"/>
        <w:widowControl/>
        <w:suppressLineNumbers w:val="0"/>
        <w:spacing w:before="0" w:beforeAutospacing="0" w:after="150" w:afterAutospacing="0"/>
        <w:ind w:left="0" w:right="0" w:firstLine="480"/>
      </w:pPr>
      <w:r>
        <w:rPr>
          <w:rFonts w:hint="default" w:ascii="Calibri" w:hAnsi="Calibri" w:cs="Calibri"/>
          <w:sz w:val="24"/>
          <w:szCs w:val="24"/>
        </w:rPr>
        <w:t>b.</w:t>
      </w:r>
      <w:r>
        <w:rPr>
          <w:rFonts w:hint="eastAsia" w:ascii="宋体" w:hAnsi="宋体" w:eastAsia="宋体" w:cs="宋体"/>
          <w:sz w:val="24"/>
          <w:szCs w:val="24"/>
        </w:rPr>
        <w:t>价格扣除的规则如下：</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171"/>
        <w:gridCol w:w="7151"/>
      </w:tblGrid>
      <w:tr w14:paraId="54A4A1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76F356DF">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42086DAB">
            <w:pPr>
              <w:keepNext w:val="0"/>
              <w:keepLines w:val="0"/>
              <w:widowControl/>
              <w:suppressLineNumbers w:val="0"/>
              <w:jc w:val="center"/>
            </w:pPr>
            <w:r>
              <w:rPr>
                <w:rFonts w:ascii="宋体" w:hAnsi="宋体" w:eastAsia="宋体" w:cs="宋体"/>
                <w:kern w:val="0"/>
                <w:sz w:val="24"/>
                <w:szCs w:val="24"/>
                <w:lang w:val="en-US" w:eastAsia="zh-CN" w:bidi="ar"/>
              </w:rPr>
              <w:t>评标方法</w:t>
            </w:r>
          </w:p>
        </w:tc>
      </w:tr>
      <w:tr w14:paraId="5BAC62D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171" w:type="dxa"/>
            <w:tcBorders>
              <w:top w:val="outset" w:color="auto" w:sz="6" w:space="0"/>
              <w:left w:val="outset" w:color="auto" w:sz="6" w:space="0"/>
              <w:bottom w:val="outset" w:color="auto" w:sz="6" w:space="0"/>
              <w:right w:val="outset" w:color="auto" w:sz="6" w:space="0"/>
            </w:tcBorders>
            <w:shd w:val="clear" w:color="auto" w:fill="auto"/>
            <w:vAlign w:val="center"/>
          </w:tcPr>
          <w:p w14:paraId="5E268F68">
            <w:pPr>
              <w:keepNext w:val="0"/>
              <w:keepLines w:val="0"/>
              <w:widowControl/>
              <w:suppressLineNumbers w:val="0"/>
              <w:jc w:val="left"/>
            </w:pPr>
            <w:r>
              <w:rPr>
                <w:rFonts w:ascii="宋体" w:hAnsi="宋体" w:eastAsia="宋体" w:cs="宋体"/>
                <w:kern w:val="0"/>
                <w:sz w:val="24"/>
                <w:szCs w:val="24"/>
                <w:lang w:val="en-US" w:eastAsia="zh-CN" w:bidi="ar"/>
              </w:rPr>
              <w:t>小型、微型企业，监狱企业，残疾人</w:t>
            </w:r>
          </w:p>
        </w:tc>
        <w:tc>
          <w:tcPr>
            <w:tcW w:w="7151" w:type="dxa"/>
            <w:tcBorders>
              <w:top w:val="outset" w:color="auto" w:sz="6" w:space="0"/>
              <w:left w:val="outset" w:color="auto" w:sz="6" w:space="0"/>
              <w:bottom w:val="outset" w:color="auto" w:sz="6" w:space="0"/>
              <w:right w:val="outset" w:color="auto" w:sz="6" w:space="0"/>
            </w:tcBorders>
            <w:shd w:val="clear" w:color="auto" w:fill="auto"/>
            <w:vAlign w:val="center"/>
          </w:tcPr>
          <w:p w14:paraId="64AB63DB">
            <w:pPr>
              <w:keepNext w:val="0"/>
              <w:keepLines w:val="0"/>
              <w:widowControl/>
              <w:suppressLineNumbers w:val="0"/>
              <w:jc w:val="left"/>
            </w:pPr>
            <w:r>
              <w:rPr>
                <w:rStyle w:val="8"/>
                <w:rFonts w:ascii="宋体" w:hAnsi="宋体" w:eastAsia="宋体" w:cs="宋体"/>
                <w:b/>
                <w:kern w:val="0"/>
                <w:sz w:val="24"/>
                <w:szCs w:val="24"/>
                <w:lang w:val="en-US" w:eastAsia="zh-CN" w:bidi="ar"/>
              </w:rPr>
              <w:t>小型、微型企业，监狱企业，残疾人 《政府采购促进中小企业发展暂行办法》价格的扣除：1、根据财政部、工信部印发的《政府采购促进中小企业发展暂行办法》财库〔2011〕181号，本办法所称中小企业(含中型、小型、微型企业，下同)应当同时符合以下条件：(1)符合中小企业划分标准；(2)提供本企业制造的货物、承担的工程或者服务，或者提供其他中小企业制造的货物。本项所称货物不包括使用大型企业注册商标的货物。本办法所称中小企业划分标准，是指国务院有关部门根据企业从业人员、营业收入、资产总额等指标制定的中小企业划型标准。小型、微型企业提供中型企业制造的货物的，视同为中型企业。2、本项目为非专门面向中小企业的项目，对小型和微型企业产品的价格给予6%的扣除，用扣除后的价格参与评审。残疾人集中就业企业、监狱企业视同小型和微型企业，享受评审中价格扣除的政府采购政策。3、参加政府采购活动的中小企业应当提供《政府采购促进中小企业发展暂行办法》规定的《中小企业声明函》(见第七章投标文件格式)。4、政府采购对中小企业的认定，由企业所在地的县级以上中小企业主管部门负责。须提供中小企业主管部门的证明函，否则不予价格扣除。5、监狱企业参加政府采购活动时，应当提供由省级以上监狱管理局、戒毒管理局(含新疆生产建设兵团)出具的属于监狱企业的证明文件，否则不予价格扣除。注：投标人在报价时必须对提供本企业制造的货物、承担的工程或者服务，或者提供其他中小企业制造的货物单独在小型、微型企业产品统计表中填写，并提供相关证明资料复印件附在报价部分(电子证明资料应上传在对应评分模块)且加盖投标人公章。未单独分项报价或未按规定提供相关证明资料的不给予价格扣除。评标委员会审查此项响应性只根据投标文件本身的内容，而不寻求其他的外部证据。残疾人福利性单位产品《三部门联合发布关于促进残疾人就业政府采购政策的通知》价格的扣除：1、根据财政部、民政部、中国残疾人联合会印发的《三部门联合发布关于促进残疾人就业政府采购政策的通知》财库〔2017〕141号，依照《政府采购法》、《残疾人保障法》等法律法规及相关规定，享受政府采购支持政策的残疾人福利性单位应当同时满足以下条件：(1)安置的残疾人占本单位在职职工人数的比例不低于25%(含25%)，并且安置的残疾人人数不少于10人(含10人)；(2)依法与安置的每位残疾人签订了一年以上(含一年)的劳动合同或服务协议；(3)为安置的每位残疾人按月足额缴纳了基本养老保险、基本医疗保险、失业保险、工伤保险和生育保险等社会保险费；(4)通过银行等金融机构向安置的每位残疾人，按月支付了不低于单位所在区县适用的经省级人民政府批准的月最低工资标准的工资；(5)提供本单位制造的货物、承担的工程或者服务(以下简称产品)，或者提供其他残疾人福利性单位制造的货物(不包括使用非残疾人福利性单位注册商标的货物)。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2、符合条件的残疾人福利性单位在参加政府采购活动时，应当提供《三部门联合发布关于促进残疾人就业政府采购政策的通知》规定的《残疾人福利性单位声明函》(见招标文件格式)，并对声明的真实性负责。3、在政府采购活动中，残疾人福利性单位视同小型、微型企业，享受“《政府采购促进中小企业发展暂行办法》价格的扣除”的政府采购政策。残疾人福利性单位属于小型、微型企业的，不重复享受政策。</w:t>
            </w:r>
          </w:p>
        </w:tc>
      </w:tr>
    </w:tbl>
    <w:p w14:paraId="5CF7061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D8F075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9D72D5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8E2A62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A1A7873">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031753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476650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45EEA8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13956D0">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EFD228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CAD93F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7DC683FA">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4077DF5">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②技术项（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）满分为</w:t>
      </w:r>
      <w:r>
        <w:rPr>
          <w:rFonts w:hint="eastAsia" w:ascii="宋体" w:hAnsi="宋体" w:eastAsia="宋体" w:cs="宋体"/>
          <w:sz w:val="24"/>
          <w:szCs w:val="24"/>
          <w:u w:val="single"/>
        </w:rPr>
        <w:t>55</w:t>
      </w:r>
      <w:r>
        <w:rPr>
          <w:rFonts w:hint="eastAsia" w:ascii="宋体" w:hAnsi="宋体" w:eastAsia="宋体" w:cs="宋体"/>
          <w:sz w:val="24"/>
          <w:szCs w:val="24"/>
        </w:rPr>
        <w:t>分。</w:t>
      </w:r>
    </w:p>
    <w:tbl>
      <w:tblPr>
        <w:tblStyle w:val="6"/>
        <w:tblW w:w="834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212"/>
        <w:gridCol w:w="1199"/>
        <w:gridCol w:w="5929"/>
      </w:tblGrid>
      <w:tr w14:paraId="1BFF66A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55" w:hRule="atLeast"/>
          <w:tblHeader/>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4728CD50">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25FA3545">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7BD729EC">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42BD399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320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75805738">
            <w:pPr>
              <w:keepNext w:val="0"/>
              <w:keepLines w:val="0"/>
              <w:widowControl/>
              <w:suppressLineNumbers w:val="0"/>
              <w:jc w:val="left"/>
            </w:pPr>
            <w:r>
              <w:rPr>
                <w:rFonts w:ascii="宋体" w:hAnsi="宋体" w:eastAsia="宋体" w:cs="宋体"/>
                <w:kern w:val="0"/>
                <w:sz w:val="24"/>
                <w:szCs w:val="24"/>
                <w:lang w:val="en-US" w:eastAsia="zh-CN" w:bidi="ar"/>
              </w:rPr>
              <w:t>A1、所投货物技术的响应情况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39B79182">
            <w:pPr>
              <w:keepNext w:val="0"/>
              <w:keepLines w:val="0"/>
              <w:widowControl/>
              <w:suppressLineNumbers w:val="0"/>
              <w:jc w:val="center"/>
            </w:pPr>
            <w:r>
              <w:rPr>
                <w:rFonts w:ascii="宋体" w:hAnsi="宋体" w:eastAsia="宋体" w:cs="宋体"/>
                <w:kern w:val="0"/>
                <w:sz w:val="24"/>
                <w:szCs w:val="24"/>
                <w:lang w:val="en-US" w:eastAsia="zh-CN" w:bidi="ar"/>
              </w:rPr>
              <w:t>38</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5F96430A">
            <w:pPr>
              <w:keepNext w:val="0"/>
              <w:keepLines w:val="0"/>
              <w:widowControl/>
              <w:suppressLineNumbers w:val="0"/>
              <w:jc w:val="left"/>
            </w:pPr>
            <w:r>
              <w:rPr>
                <w:rFonts w:ascii="宋体" w:hAnsi="宋体" w:eastAsia="宋体" w:cs="宋体"/>
                <w:kern w:val="0"/>
                <w:sz w:val="24"/>
                <w:szCs w:val="24"/>
                <w:lang w:val="en-US" w:eastAsia="zh-CN" w:bidi="ar"/>
              </w:rPr>
              <w:t>根据投标人对招标文件第五章《招标内容及要求》二、技术和服务要求“合同包7：“3KG棉被”参数要求的逐项响应、承诺的情况由评委进行评议评分，投标人所投产品完全满足招标文件技术规范及要求的得38分，有负偏离情况的，每负偏离一项扣3分，扣完为止，正偏离不加分。（满分38分）</w:t>
            </w:r>
          </w:p>
        </w:tc>
      </w:tr>
      <w:tr w14:paraId="1D0684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61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543B519E">
            <w:pPr>
              <w:keepNext w:val="0"/>
              <w:keepLines w:val="0"/>
              <w:widowControl/>
              <w:suppressLineNumbers w:val="0"/>
              <w:jc w:val="left"/>
            </w:pPr>
            <w:r>
              <w:rPr>
                <w:rFonts w:ascii="宋体" w:hAnsi="宋体" w:eastAsia="宋体" w:cs="宋体"/>
                <w:kern w:val="0"/>
                <w:sz w:val="24"/>
                <w:szCs w:val="24"/>
                <w:lang w:val="en-US" w:eastAsia="zh-CN" w:bidi="ar"/>
              </w:rPr>
              <w:t>A2、生产情况说明</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6EACFDA9">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27782F67">
            <w:pPr>
              <w:keepNext w:val="0"/>
              <w:keepLines w:val="0"/>
              <w:widowControl/>
              <w:suppressLineNumbers w:val="0"/>
              <w:jc w:val="left"/>
            </w:pPr>
            <w:r>
              <w:rPr>
                <w:rFonts w:ascii="宋体" w:hAnsi="宋体" w:eastAsia="宋体" w:cs="宋体"/>
                <w:kern w:val="0"/>
                <w:sz w:val="24"/>
                <w:szCs w:val="24"/>
                <w:lang w:val="en-US" w:eastAsia="zh-CN" w:bidi="ar"/>
              </w:rPr>
              <w:t>根据投标人提供的生产计划，生产方案、产品工艺流程说明、加工设备清单等进行横向评议，由评委在0～3分之间进行评分。</w:t>
            </w:r>
          </w:p>
        </w:tc>
      </w:tr>
      <w:tr w14:paraId="2460DFB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214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2E843F2E">
            <w:pPr>
              <w:keepNext w:val="0"/>
              <w:keepLines w:val="0"/>
              <w:widowControl/>
              <w:suppressLineNumbers w:val="0"/>
              <w:jc w:val="left"/>
            </w:pPr>
            <w:r>
              <w:rPr>
                <w:rFonts w:ascii="宋体" w:hAnsi="宋体" w:eastAsia="宋体" w:cs="宋体"/>
                <w:kern w:val="0"/>
                <w:sz w:val="24"/>
                <w:szCs w:val="24"/>
                <w:lang w:val="en-US" w:eastAsia="zh-CN" w:bidi="ar"/>
              </w:rPr>
              <w:t>A3、项目保障措施</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27A99CEA">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34FD8787">
            <w:pPr>
              <w:keepNext w:val="0"/>
              <w:keepLines w:val="0"/>
              <w:widowControl/>
              <w:suppressLineNumbers w:val="0"/>
              <w:jc w:val="left"/>
            </w:pPr>
            <w:r>
              <w:rPr>
                <w:rFonts w:ascii="宋体" w:hAnsi="宋体" w:eastAsia="宋体" w:cs="宋体"/>
                <w:kern w:val="0"/>
                <w:sz w:val="24"/>
                <w:szCs w:val="24"/>
                <w:lang w:val="en-US" w:eastAsia="zh-CN" w:bidi="ar"/>
              </w:rPr>
              <w:t>根据投标人提供的产品检测方案、质量保障，供货保障方案详细程度等进行横向评议，保障方案罗列齐全详细且保障方案可行性强的得3分；方案一般但较为合理的得2分，保障方案不合理或未提供保障方案的本项不得分。</w:t>
            </w:r>
          </w:p>
        </w:tc>
      </w:tr>
      <w:tr w14:paraId="638AA2F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8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561F480A">
            <w:pPr>
              <w:keepNext w:val="0"/>
              <w:keepLines w:val="0"/>
              <w:widowControl/>
              <w:suppressLineNumbers w:val="0"/>
              <w:jc w:val="left"/>
            </w:pPr>
            <w:r>
              <w:rPr>
                <w:rFonts w:ascii="宋体" w:hAnsi="宋体" w:eastAsia="宋体" w:cs="宋体"/>
                <w:kern w:val="0"/>
                <w:sz w:val="24"/>
                <w:szCs w:val="24"/>
                <w:lang w:val="en-US" w:eastAsia="zh-CN" w:bidi="ar"/>
              </w:rPr>
              <w:t>A4-1、样品情况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28C58323">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11077350">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根据投标人所提供样品的整体质量情况由评委在0～3分之间进行评分。</w:t>
            </w:r>
          </w:p>
        </w:tc>
      </w:tr>
      <w:tr w14:paraId="1BEF700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8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3060E307">
            <w:pPr>
              <w:keepNext w:val="0"/>
              <w:keepLines w:val="0"/>
              <w:widowControl/>
              <w:suppressLineNumbers w:val="0"/>
              <w:jc w:val="left"/>
            </w:pPr>
            <w:r>
              <w:rPr>
                <w:rFonts w:ascii="宋体" w:hAnsi="宋体" w:eastAsia="宋体" w:cs="宋体"/>
                <w:kern w:val="0"/>
                <w:sz w:val="24"/>
                <w:szCs w:val="24"/>
                <w:lang w:val="en-US" w:eastAsia="zh-CN" w:bidi="ar"/>
              </w:rPr>
              <w:t>A4-2、样品情况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38172EF1">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34C2251C">
            <w:pPr>
              <w:keepNext w:val="0"/>
              <w:keepLines w:val="0"/>
              <w:widowControl/>
              <w:suppressLineNumbers w:val="0"/>
              <w:jc w:val="left"/>
            </w:pPr>
            <w:r>
              <w:rPr>
                <w:rFonts w:ascii="宋体" w:hAnsi="宋体" w:eastAsia="宋体" w:cs="宋体"/>
                <w:kern w:val="0"/>
                <w:sz w:val="24"/>
                <w:szCs w:val="24"/>
                <w:lang w:val="en-US" w:eastAsia="zh-CN" w:bidi="ar"/>
              </w:rPr>
              <w:t>根据投标人所提供样品的面料情况由评委在0～3分之间进行评分。</w:t>
            </w:r>
          </w:p>
        </w:tc>
      </w:tr>
      <w:tr w14:paraId="5B70AD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84"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461AE4DA">
            <w:pPr>
              <w:keepNext w:val="0"/>
              <w:keepLines w:val="0"/>
              <w:widowControl/>
              <w:suppressLineNumbers w:val="0"/>
              <w:jc w:val="left"/>
            </w:pPr>
            <w:r>
              <w:rPr>
                <w:rFonts w:ascii="宋体" w:hAnsi="宋体" w:eastAsia="宋体" w:cs="宋体"/>
                <w:kern w:val="0"/>
                <w:sz w:val="24"/>
                <w:szCs w:val="24"/>
                <w:lang w:val="en-US" w:eastAsia="zh-CN" w:bidi="ar"/>
              </w:rPr>
              <w:t>A4-3、样品情况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45D41AD9">
            <w:pPr>
              <w:keepNext w:val="0"/>
              <w:keepLines w:val="0"/>
              <w:widowControl/>
              <w:suppressLineNumbers w:val="0"/>
              <w:jc w:val="center"/>
            </w:pPr>
            <w:r>
              <w:rPr>
                <w:rFonts w:ascii="宋体" w:hAnsi="宋体" w:eastAsia="宋体" w:cs="宋体"/>
                <w:kern w:val="0"/>
                <w:sz w:val="24"/>
                <w:szCs w:val="24"/>
                <w:lang w:val="en-US" w:eastAsia="zh-CN" w:bidi="ar"/>
              </w:rPr>
              <w:t>3</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09A33D0C">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根据投标人所提供样品的整体工艺水平由评委在0～3分之间进行评分。</w:t>
            </w:r>
          </w:p>
        </w:tc>
      </w:tr>
      <w:tr w14:paraId="5B9BA6E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110" w:hRule="atLeast"/>
        </w:trPr>
        <w:tc>
          <w:tcPr>
            <w:tcW w:w="1212" w:type="dxa"/>
            <w:tcBorders>
              <w:top w:val="outset" w:color="auto" w:sz="6" w:space="0"/>
              <w:left w:val="outset" w:color="auto" w:sz="6" w:space="0"/>
              <w:bottom w:val="outset" w:color="auto" w:sz="6" w:space="0"/>
              <w:right w:val="outset" w:color="auto" w:sz="6" w:space="0"/>
            </w:tcBorders>
            <w:shd w:val="clear" w:color="auto" w:fill="auto"/>
            <w:vAlign w:val="center"/>
          </w:tcPr>
          <w:p w14:paraId="25024D79">
            <w:pPr>
              <w:keepNext w:val="0"/>
              <w:keepLines w:val="0"/>
              <w:widowControl/>
              <w:suppressLineNumbers w:val="0"/>
              <w:jc w:val="left"/>
            </w:pPr>
            <w:r>
              <w:rPr>
                <w:rFonts w:ascii="宋体" w:hAnsi="宋体" w:eastAsia="宋体" w:cs="宋体"/>
                <w:kern w:val="0"/>
                <w:sz w:val="24"/>
                <w:szCs w:val="24"/>
                <w:lang w:val="en-US" w:eastAsia="zh-CN" w:bidi="ar"/>
              </w:rPr>
              <w:t>A4-4、样品情况</w:t>
            </w:r>
          </w:p>
        </w:tc>
        <w:tc>
          <w:tcPr>
            <w:tcW w:w="1199" w:type="dxa"/>
            <w:tcBorders>
              <w:top w:val="outset" w:color="auto" w:sz="6" w:space="0"/>
              <w:left w:val="outset" w:color="auto" w:sz="6" w:space="0"/>
              <w:bottom w:val="outset" w:color="auto" w:sz="6" w:space="0"/>
              <w:right w:val="outset" w:color="auto" w:sz="6" w:space="0"/>
            </w:tcBorders>
            <w:shd w:val="clear" w:color="auto" w:fill="auto"/>
            <w:vAlign w:val="center"/>
          </w:tcPr>
          <w:p w14:paraId="4F053D0D">
            <w:pPr>
              <w:keepNext w:val="0"/>
              <w:keepLines w:val="0"/>
              <w:widowControl/>
              <w:suppressLineNumbers w:val="0"/>
              <w:jc w:val="center"/>
            </w:pPr>
            <w:r>
              <w:rPr>
                <w:rFonts w:ascii="宋体" w:hAnsi="宋体" w:eastAsia="宋体" w:cs="宋体"/>
                <w:kern w:val="0"/>
                <w:sz w:val="24"/>
                <w:szCs w:val="24"/>
                <w:lang w:val="en-US" w:eastAsia="zh-CN" w:bidi="ar"/>
              </w:rPr>
              <w:t>2</w:t>
            </w:r>
          </w:p>
        </w:tc>
        <w:tc>
          <w:tcPr>
            <w:tcW w:w="5929" w:type="dxa"/>
            <w:tcBorders>
              <w:top w:val="outset" w:color="auto" w:sz="6" w:space="0"/>
              <w:left w:val="outset" w:color="auto" w:sz="6" w:space="0"/>
              <w:bottom w:val="outset" w:color="auto" w:sz="6" w:space="0"/>
              <w:right w:val="outset" w:color="auto" w:sz="6" w:space="0"/>
            </w:tcBorders>
            <w:shd w:val="clear" w:color="auto" w:fill="auto"/>
            <w:vAlign w:val="center"/>
          </w:tcPr>
          <w:p w14:paraId="2A328CCB">
            <w:pPr>
              <w:keepNext w:val="0"/>
              <w:keepLines w:val="0"/>
              <w:widowControl/>
              <w:suppressLineNumbers w:val="0"/>
              <w:jc w:val="left"/>
            </w:pPr>
            <w:r>
              <w:rPr>
                <w:rFonts w:ascii="宋体" w:hAnsi="宋体" w:eastAsia="宋体" w:cs="宋体"/>
                <w:kern w:val="0"/>
                <w:sz w:val="24"/>
                <w:szCs w:val="24"/>
                <w:lang w:val="en-US" w:eastAsia="zh-CN" w:bidi="ar"/>
              </w:rPr>
              <w:t>根据投标人所提供样品的手感情况由评委在0～2分之间进行评分。</w:t>
            </w:r>
          </w:p>
        </w:tc>
      </w:tr>
    </w:tbl>
    <w:p w14:paraId="7C1EAF5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60DA7D6">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A630DBB">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46DAA76C">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③商务项（</w:t>
      </w:r>
      <w:r>
        <w:rPr>
          <w:rFonts w:hint="default" w:ascii="Calibri" w:hAnsi="Calibri" w:eastAsia="宋体" w:cs="Calibri"/>
          <w:sz w:val="24"/>
          <w:szCs w:val="24"/>
        </w:rPr>
        <w:t>F3</w:t>
      </w:r>
      <w:r>
        <w:rPr>
          <w:rFonts w:hint="eastAsia" w:ascii="宋体" w:hAnsi="宋体" w:eastAsia="宋体" w:cs="宋体"/>
          <w:sz w:val="24"/>
          <w:szCs w:val="24"/>
        </w:rPr>
        <w:t>×</w:t>
      </w:r>
      <w:r>
        <w:rPr>
          <w:rFonts w:hint="default" w:ascii="Calibri" w:hAnsi="Calibri" w:eastAsia="宋体" w:cs="Calibri"/>
          <w:sz w:val="24"/>
          <w:szCs w:val="24"/>
        </w:rPr>
        <w:t>A3</w:t>
      </w:r>
      <w:r>
        <w:rPr>
          <w:rFonts w:hint="eastAsia" w:ascii="宋体" w:hAnsi="宋体" w:eastAsia="宋体" w:cs="宋体"/>
          <w:sz w:val="24"/>
          <w:szCs w:val="24"/>
        </w:rPr>
        <w:t>）满分为</w:t>
      </w:r>
      <w:r>
        <w:rPr>
          <w:rFonts w:hint="eastAsia" w:ascii="宋体" w:hAnsi="宋体" w:eastAsia="宋体" w:cs="宋体"/>
          <w:sz w:val="24"/>
          <w:szCs w:val="24"/>
          <w:u w:val="single"/>
        </w:rPr>
        <w:t>15</w:t>
      </w:r>
      <w:r>
        <w:rPr>
          <w:rFonts w:hint="eastAsia" w:ascii="宋体" w:hAnsi="宋体" w:eastAsia="宋体" w:cs="宋体"/>
          <w:sz w:val="24"/>
          <w:szCs w:val="24"/>
        </w:rPr>
        <w:t>分。</w:t>
      </w:r>
    </w:p>
    <w:tbl>
      <w:tblPr>
        <w:tblStyle w:val="6"/>
        <w:tblW w:w="8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146"/>
        <w:gridCol w:w="990"/>
        <w:gridCol w:w="6180"/>
      </w:tblGrid>
      <w:tr w14:paraId="56F3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blHeader/>
        </w:trPr>
        <w:tc>
          <w:tcPr>
            <w:tcW w:w="1146" w:type="dxa"/>
            <w:tcBorders>
              <w:tl2br w:val="nil"/>
              <w:tr2bl w:val="nil"/>
            </w:tcBorders>
            <w:shd w:val="clear" w:color="auto" w:fill="auto"/>
            <w:vAlign w:val="center"/>
          </w:tcPr>
          <w:p w14:paraId="680861FF">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990" w:type="dxa"/>
            <w:tcBorders>
              <w:tl2br w:val="nil"/>
              <w:tr2bl w:val="nil"/>
            </w:tcBorders>
            <w:shd w:val="clear" w:color="auto" w:fill="auto"/>
            <w:vAlign w:val="center"/>
          </w:tcPr>
          <w:p w14:paraId="27C84B23">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80" w:type="dxa"/>
            <w:tcBorders>
              <w:tl2br w:val="nil"/>
              <w:tr2bl w:val="nil"/>
            </w:tcBorders>
            <w:shd w:val="clear" w:color="auto" w:fill="auto"/>
            <w:vAlign w:val="center"/>
          </w:tcPr>
          <w:p w14:paraId="7CDB5E56">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5F09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27C98854">
            <w:pPr>
              <w:keepNext w:val="0"/>
              <w:keepLines w:val="0"/>
              <w:widowControl/>
              <w:suppressLineNumbers w:val="0"/>
              <w:jc w:val="left"/>
            </w:pPr>
            <w:r>
              <w:rPr>
                <w:rFonts w:ascii="宋体" w:hAnsi="宋体" w:eastAsia="宋体" w:cs="宋体"/>
                <w:kern w:val="0"/>
                <w:sz w:val="24"/>
                <w:szCs w:val="24"/>
                <w:lang w:val="en-US" w:eastAsia="zh-CN" w:bidi="ar"/>
              </w:rPr>
              <w:t>B1、业绩</w:t>
            </w:r>
          </w:p>
        </w:tc>
        <w:tc>
          <w:tcPr>
            <w:tcW w:w="990" w:type="dxa"/>
            <w:tcBorders>
              <w:tl2br w:val="nil"/>
              <w:tr2bl w:val="nil"/>
            </w:tcBorders>
            <w:shd w:val="clear" w:color="auto" w:fill="auto"/>
            <w:vAlign w:val="center"/>
          </w:tcPr>
          <w:p w14:paraId="49167826">
            <w:pPr>
              <w:keepNext w:val="0"/>
              <w:keepLines w:val="0"/>
              <w:widowControl/>
              <w:suppressLineNumbers w:val="0"/>
              <w:jc w:val="left"/>
            </w:pPr>
            <w:r>
              <w:rPr>
                <w:rFonts w:ascii="宋体" w:hAnsi="宋体" w:eastAsia="宋体" w:cs="宋体"/>
                <w:kern w:val="0"/>
                <w:sz w:val="24"/>
                <w:szCs w:val="24"/>
                <w:lang w:val="en-US" w:eastAsia="zh-CN" w:bidi="ar"/>
              </w:rPr>
              <w:t>3</w:t>
            </w:r>
          </w:p>
        </w:tc>
        <w:tc>
          <w:tcPr>
            <w:tcW w:w="6180" w:type="dxa"/>
            <w:tcBorders>
              <w:tl2br w:val="nil"/>
              <w:tr2bl w:val="nil"/>
            </w:tcBorders>
            <w:shd w:val="clear" w:color="auto" w:fill="auto"/>
            <w:vAlign w:val="center"/>
          </w:tcPr>
          <w:p w14:paraId="1755D71B">
            <w:pPr>
              <w:keepNext w:val="0"/>
              <w:keepLines w:val="0"/>
              <w:widowControl/>
              <w:suppressLineNumbers w:val="0"/>
              <w:jc w:val="left"/>
            </w:pPr>
            <w:r>
              <w:rPr>
                <w:rFonts w:ascii="宋体" w:hAnsi="宋体" w:eastAsia="宋体" w:cs="宋体"/>
                <w:kern w:val="0"/>
                <w:sz w:val="24"/>
                <w:szCs w:val="24"/>
                <w:lang w:val="en-US" w:eastAsia="zh-CN" w:bidi="ar"/>
              </w:rPr>
              <w:t>根据投标人所提供的从2016年1月1日起至本次投标截止日期(日期以验收报告时间为准)在国内所完成的同类项目业绩情况进行打分，每提供一份得1分，满分3分。【投标人须列表并提供该业绩项目的中标公告（提供相关网站中标公告的下载网页并注明网址）、中标通知书复印件、采购合同文本复印件，以及能够证明该业绩项目已经采购人验收合格的相关证明文件复印件，所有材料缺一不可，否则不得分。原件备查。】</w:t>
            </w:r>
          </w:p>
        </w:tc>
      </w:tr>
      <w:tr w14:paraId="714F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59333055">
            <w:pPr>
              <w:keepNext w:val="0"/>
              <w:keepLines w:val="0"/>
              <w:widowControl/>
              <w:suppressLineNumbers w:val="0"/>
              <w:jc w:val="left"/>
            </w:pPr>
            <w:r>
              <w:rPr>
                <w:rFonts w:ascii="宋体" w:hAnsi="宋体" w:eastAsia="宋体" w:cs="宋体"/>
                <w:kern w:val="0"/>
                <w:sz w:val="24"/>
                <w:szCs w:val="24"/>
                <w:lang w:val="en-US" w:eastAsia="zh-CN" w:bidi="ar"/>
              </w:rPr>
              <w:t>B2、经营年限</w:t>
            </w:r>
          </w:p>
        </w:tc>
        <w:tc>
          <w:tcPr>
            <w:tcW w:w="990" w:type="dxa"/>
            <w:tcBorders>
              <w:tl2br w:val="nil"/>
              <w:tr2bl w:val="nil"/>
            </w:tcBorders>
            <w:shd w:val="clear" w:color="auto" w:fill="auto"/>
            <w:vAlign w:val="center"/>
          </w:tcPr>
          <w:p w14:paraId="494120E6">
            <w:pPr>
              <w:keepNext w:val="0"/>
              <w:keepLines w:val="0"/>
              <w:widowControl/>
              <w:suppressLineNumbers w:val="0"/>
              <w:jc w:val="left"/>
            </w:pPr>
            <w:r>
              <w:rPr>
                <w:rFonts w:ascii="宋体" w:hAnsi="宋体" w:eastAsia="宋体" w:cs="宋体"/>
                <w:kern w:val="0"/>
                <w:sz w:val="24"/>
                <w:szCs w:val="24"/>
                <w:lang w:val="en-US" w:eastAsia="zh-CN" w:bidi="ar"/>
              </w:rPr>
              <w:t>2</w:t>
            </w:r>
          </w:p>
        </w:tc>
        <w:tc>
          <w:tcPr>
            <w:tcW w:w="6180" w:type="dxa"/>
            <w:tcBorders>
              <w:tl2br w:val="nil"/>
              <w:tr2bl w:val="nil"/>
            </w:tcBorders>
            <w:shd w:val="clear" w:color="auto" w:fill="auto"/>
            <w:vAlign w:val="center"/>
          </w:tcPr>
          <w:p w14:paraId="7C829004">
            <w:pPr>
              <w:keepNext w:val="0"/>
              <w:keepLines w:val="0"/>
              <w:widowControl/>
              <w:suppressLineNumbers w:val="0"/>
              <w:jc w:val="left"/>
            </w:pPr>
            <w:r>
              <w:rPr>
                <w:rFonts w:ascii="宋体" w:hAnsi="宋体" w:eastAsia="宋体" w:cs="宋体"/>
                <w:kern w:val="0"/>
                <w:sz w:val="24"/>
                <w:szCs w:val="24"/>
                <w:lang w:val="en-US" w:eastAsia="zh-CN" w:bidi="ar"/>
              </w:rPr>
              <w:t>根据投标人经营年限(以营业执照为准)进行评分：投标人经营年限大于10年的，每增加1年得1分。（满分2分）注：须提供营业执照复印件，否则不得分。</w:t>
            </w:r>
          </w:p>
        </w:tc>
      </w:tr>
      <w:tr w14:paraId="728F8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06E5C3A4">
            <w:pPr>
              <w:keepNext w:val="0"/>
              <w:keepLines w:val="0"/>
              <w:widowControl/>
              <w:suppressLineNumbers w:val="0"/>
              <w:jc w:val="left"/>
            </w:pPr>
            <w:r>
              <w:rPr>
                <w:rFonts w:ascii="宋体" w:hAnsi="宋体" w:eastAsia="宋体" w:cs="宋体"/>
                <w:kern w:val="0"/>
                <w:sz w:val="24"/>
                <w:szCs w:val="24"/>
                <w:lang w:val="en-US" w:eastAsia="zh-CN" w:bidi="ar"/>
              </w:rPr>
              <w:t>B3、售后服务</w:t>
            </w:r>
          </w:p>
        </w:tc>
        <w:tc>
          <w:tcPr>
            <w:tcW w:w="990" w:type="dxa"/>
            <w:tcBorders>
              <w:tl2br w:val="nil"/>
              <w:tr2bl w:val="nil"/>
            </w:tcBorders>
            <w:shd w:val="clear" w:color="auto" w:fill="auto"/>
            <w:vAlign w:val="center"/>
          </w:tcPr>
          <w:p w14:paraId="1A4D6252">
            <w:pPr>
              <w:keepNext w:val="0"/>
              <w:keepLines w:val="0"/>
              <w:widowControl/>
              <w:suppressLineNumbers w:val="0"/>
              <w:jc w:val="left"/>
            </w:pPr>
            <w:r>
              <w:rPr>
                <w:rFonts w:ascii="宋体" w:hAnsi="宋体" w:eastAsia="宋体" w:cs="宋体"/>
                <w:kern w:val="0"/>
                <w:sz w:val="24"/>
                <w:szCs w:val="24"/>
                <w:lang w:val="en-US" w:eastAsia="zh-CN" w:bidi="ar"/>
              </w:rPr>
              <w:t>3</w:t>
            </w:r>
          </w:p>
        </w:tc>
        <w:tc>
          <w:tcPr>
            <w:tcW w:w="6180" w:type="dxa"/>
            <w:tcBorders>
              <w:tl2br w:val="nil"/>
              <w:tr2bl w:val="nil"/>
            </w:tcBorders>
            <w:shd w:val="clear" w:color="auto" w:fill="auto"/>
            <w:vAlign w:val="center"/>
          </w:tcPr>
          <w:p w14:paraId="1BCC0FA8">
            <w:pPr>
              <w:keepNext w:val="0"/>
              <w:keepLines w:val="0"/>
              <w:widowControl/>
              <w:suppressLineNumbers w:val="0"/>
              <w:jc w:val="left"/>
            </w:pPr>
            <w:r>
              <w:rPr>
                <w:rFonts w:ascii="宋体" w:hAnsi="宋体" w:eastAsia="宋体" w:cs="宋体"/>
                <w:kern w:val="0"/>
                <w:sz w:val="24"/>
                <w:szCs w:val="24"/>
                <w:lang w:val="en-US" w:eastAsia="zh-CN" w:bidi="ar"/>
              </w:rPr>
              <w:t>根据投标人提供的售后服务承诺、反馈方式，维护响应时间、响应方式等情况进行评分，售后服务承诺优于招标文件，响应时间短，响应方式多样的得3分，售后服务承诺较好，售后服务响应内容</w:t>
            </w:r>
            <w:r>
              <w:rPr>
                <w:rFonts w:hint="eastAsia" w:ascii="宋体" w:hAnsi="宋体" w:eastAsia="宋体" w:cs="宋体"/>
                <w:kern w:val="0"/>
                <w:sz w:val="24"/>
                <w:szCs w:val="24"/>
                <w:lang w:val="en-US" w:eastAsia="zh-CN" w:bidi="ar"/>
              </w:rPr>
              <w:t>一般的得</w:t>
            </w:r>
            <w:r>
              <w:rPr>
                <w:rFonts w:ascii="宋体" w:hAnsi="宋体" w:eastAsia="宋体" w:cs="宋体"/>
                <w:kern w:val="0"/>
                <w:sz w:val="24"/>
                <w:szCs w:val="24"/>
                <w:lang w:val="en-US" w:eastAsia="zh-CN" w:bidi="ar"/>
              </w:rPr>
              <w:t>1分；未提供任何售后服务承诺的得0分。</w:t>
            </w:r>
          </w:p>
        </w:tc>
      </w:tr>
      <w:tr w14:paraId="57FE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c>
          <w:tcPr>
            <w:tcW w:w="1146" w:type="dxa"/>
            <w:tcBorders>
              <w:tl2br w:val="nil"/>
              <w:tr2bl w:val="nil"/>
            </w:tcBorders>
            <w:shd w:val="clear" w:color="auto" w:fill="auto"/>
            <w:vAlign w:val="center"/>
          </w:tcPr>
          <w:p w14:paraId="365C693D">
            <w:pPr>
              <w:keepNext w:val="0"/>
              <w:keepLines w:val="0"/>
              <w:widowControl/>
              <w:suppressLineNumbers w:val="0"/>
              <w:jc w:val="left"/>
            </w:pPr>
            <w:r>
              <w:rPr>
                <w:rFonts w:ascii="宋体" w:hAnsi="宋体" w:eastAsia="宋体" w:cs="宋体"/>
                <w:kern w:val="0"/>
                <w:sz w:val="24"/>
                <w:szCs w:val="24"/>
                <w:lang w:val="en-US" w:eastAsia="zh-CN" w:bidi="ar"/>
              </w:rPr>
              <w:t>B4-1、综合实力</w:t>
            </w:r>
          </w:p>
        </w:tc>
        <w:tc>
          <w:tcPr>
            <w:tcW w:w="990" w:type="dxa"/>
            <w:tcBorders>
              <w:tl2br w:val="nil"/>
              <w:tr2bl w:val="nil"/>
            </w:tcBorders>
            <w:shd w:val="clear" w:color="auto" w:fill="auto"/>
            <w:vAlign w:val="center"/>
          </w:tcPr>
          <w:p w14:paraId="5166D74F">
            <w:pPr>
              <w:keepNext w:val="0"/>
              <w:keepLines w:val="0"/>
              <w:widowControl/>
              <w:suppressLineNumbers w:val="0"/>
              <w:jc w:val="left"/>
            </w:pPr>
            <w:r>
              <w:rPr>
                <w:rFonts w:ascii="宋体" w:hAnsi="宋体" w:eastAsia="宋体" w:cs="宋体"/>
                <w:kern w:val="0"/>
                <w:sz w:val="24"/>
                <w:szCs w:val="24"/>
                <w:lang w:val="en-US" w:eastAsia="zh-CN" w:bidi="ar"/>
              </w:rPr>
              <w:t>3</w:t>
            </w:r>
          </w:p>
        </w:tc>
        <w:tc>
          <w:tcPr>
            <w:tcW w:w="6180" w:type="dxa"/>
            <w:tcBorders>
              <w:tl2br w:val="nil"/>
              <w:tr2bl w:val="nil"/>
            </w:tcBorders>
            <w:shd w:val="clear" w:color="auto" w:fill="auto"/>
            <w:vAlign w:val="center"/>
          </w:tcPr>
          <w:p w14:paraId="639BE4F1">
            <w:pPr>
              <w:keepNext w:val="0"/>
              <w:keepLines w:val="0"/>
              <w:widowControl/>
              <w:suppressLineNumbers w:val="0"/>
              <w:jc w:val="left"/>
            </w:pPr>
            <w:r>
              <w:rPr>
                <w:rFonts w:ascii="宋体" w:hAnsi="宋体" w:eastAsia="宋体" w:cs="宋体"/>
                <w:kern w:val="0"/>
                <w:sz w:val="24"/>
                <w:szCs w:val="24"/>
                <w:lang w:val="en-US" w:eastAsia="zh-CN" w:bidi="ar"/>
              </w:rPr>
              <w:t>根据投标人具有有效期内的ISO9001质量管理体系认证、ISO14001环境管理体系认证、职业健康安全管理体系认证的，每提供一项得1分，满分3分，未获认证或认证无效的不得分。投标人须同时提供有效证书复印件和全国认证认可信息公共服务平台（http://cx.cnca.cn）的查询结果“有效”的截图或网页打印件，并注明网址。</w:t>
            </w:r>
          </w:p>
        </w:tc>
      </w:tr>
      <w:tr w14:paraId="19D0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4FEF2035">
            <w:pPr>
              <w:keepNext w:val="0"/>
              <w:keepLines w:val="0"/>
              <w:widowControl/>
              <w:suppressLineNumbers w:val="0"/>
              <w:jc w:val="left"/>
            </w:pPr>
            <w:r>
              <w:rPr>
                <w:rFonts w:ascii="宋体" w:hAnsi="宋体" w:eastAsia="宋体" w:cs="宋体"/>
                <w:kern w:val="0"/>
                <w:sz w:val="24"/>
                <w:szCs w:val="24"/>
                <w:lang w:val="en-US" w:eastAsia="zh-CN" w:bidi="ar"/>
              </w:rPr>
              <w:t>B4-2、综合实力</w:t>
            </w:r>
          </w:p>
        </w:tc>
        <w:tc>
          <w:tcPr>
            <w:tcW w:w="990" w:type="dxa"/>
            <w:tcBorders>
              <w:tl2br w:val="nil"/>
              <w:tr2bl w:val="nil"/>
            </w:tcBorders>
            <w:shd w:val="clear" w:color="auto" w:fill="auto"/>
            <w:vAlign w:val="center"/>
          </w:tcPr>
          <w:p w14:paraId="01401AB4">
            <w:pPr>
              <w:keepNext w:val="0"/>
              <w:keepLines w:val="0"/>
              <w:widowControl/>
              <w:suppressLineNumbers w:val="0"/>
              <w:jc w:val="left"/>
            </w:pPr>
            <w:r>
              <w:rPr>
                <w:rFonts w:ascii="宋体" w:hAnsi="宋体" w:eastAsia="宋体" w:cs="宋体"/>
                <w:kern w:val="0"/>
                <w:sz w:val="24"/>
                <w:szCs w:val="24"/>
                <w:lang w:val="en-US" w:eastAsia="zh-CN" w:bidi="ar"/>
              </w:rPr>
              <w:t>1</w:t>
            </w:r>
          </w:p>
        </w:tc>
        <w:tc>
          <w:tcPr>
            <w:tcW w:w="6180" w:type="dxa"/>
            <w:tcBorders>
              <w:tl2br w:val="nil"/>
              <w:tr2bl w:val="nil"/>
            </w:tcBorders>
            <w:shd w:val="clear" w:color="auto" w:fill="auto"/>
            <w:vAlign w:val="center"/>
          </w:tcPr>
          <w:p w14:paraId="61537FB5">
            <w:pPr>
              <w:keepNext w:val="0"/>
              <w:keepLines w:val="0"/>
              <w:widowControl/>
              <w:suppressLineNumbers w:val="0"/>
              <w:jc w:val="left"/>
            </w:pPr>
            <w:r>
              <w:rPr>
                <w:rFonts w:ascii="宋体" w:hAnsi="宋体" w:eastAsia="宋体" w:cs="宋体"/>
                <w:kern w:val="0"/>
                <w:sz w:val="24"/>
                <w:szCs w:val="24"/>
                <w:lang w:val="en-US" w:eastAsia="zh-CN" w:bidi="ar"/>
              </w:rPr>
              <w:t>投标人获得第三方认证机构颁发的AAA级企业信用等级证书的得1分。（须提供复印件并加盖公章，原件备查）</w:t>
            </w:r>
          </w:p>
        </w:tc>
      </w:tr>
      <w:tr w14:paraId="275B4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30C1B63C">
            <w:pPr>
              <w:keepNext w:val="0"/>
              <w:keepLines w:val="0"/>
              <w:widowControl/>
              <w:suppressLineNumbers w:val="0"/>
              <w:jc w:val="left"/>
            </w:pPr>
            <w:r>
              <w:rPr>
                <w:rFonts w:ascii="宋体" w:hAnsi="宋体" w:eastAsia="宋体" w:cs="宋体"/>
                <w:kern w:val="0"/>
                <w:sz w:val="24"/>
                <w:szCs w:val="24"/>
                <w:lang w:val="en-US" w:eastAsia="zh-CN" w:bidi="ar"/>
              </w:rPr>
              <w:t>B4-3、综合实力</w:t>
            </w:r>
          </w:p>
        </w:tc>
        <w:tc>
          <w:tcPr>
            <w:tcW w:w="990" w:type="dxa"/>
            <w:tcBorders>
              <w:tl2br w:val="nil"/>
              <w:tr2bl w:val="nil"/>
            </w:tcBorders>
            <w:shd w:val="clear" w:color="auto" w:fill="auto"/>
            <w:vAlign w:val="center"/>
          </w:tcPr>
          <w:p w14:paraId="646DB492">
            <w:pPr>
              <w:keepNext w:val="0"/>
              <w:keepLines w:val="0"/>
              <w:widowControl/>
              <w:suppressLineNumbers w:val="0"/>
              <w:jc w:val="left"/>
            </w:pPr>
            <w:r>
              <w:rPr>
                <w:rFonts w:ascii="宋体" w:hAnsi="宋体" w:eastAsia="宋体" w:cs="宋体"/>
                <w:kern w:val="0"/>
                <w:sz w:val="24"/>
                <w:szCs w:val="24"/>
                <w:lang w:val="en-US" w:eastAsia="zh-CN" w:bidi="ar"/>
              </w:rPr>
              <w:t>1</w:t>
            </w:r>
          </w:p>
        </w:tc>
        <w:tc>
          <w:tcPr>
            <w:tcW w:w="6180" w:type="dxa"/>
            <w:tcBorders>
              <w:tl2br w:val="nil"/>
              <w:tr2bl w:val="nil"/>
            </w:tcBorders>
            <w:shd w:val="clear" w:color="auto" w:fill="auto"/>
            <w:vAlign w:val="center"/>
          </w:tcPr>
          <w:p w14:paraId="3DA1651D">
            <w:pPr>
              <w:keepNext w:val="0"/>
              <w:keepLines w:val="0"/>
              <w:widowControl/>
              <w:suppressLineNumbers w:val="0"/>
              <w:jc w:val="left"/>
            </w:pPr>
            <w:r>
              <w:rPr>
                <w:rFonts w:ascii="宋体" w:hAnsi="宋体" w:eastAsia="宋体" w:cs="宋体"/>
                <w:kern w:val="0"/>
                <w:sz w:val="24"/>
                <w:szCs w:val="24"/>
                <w:lang w:val="en-US" w:eastAsia="zh-CN" w:bidi="ar"/>
              </w:rPr>
              <w:t>投标人获得省级或以上政府部门、工商部门或者第三方认证机构颁发的 “重合同守信用”证书的得1分，（须提供复印件并加盖公章，原件备查）。</w:t>
            </w:r>
          </w:p>
        </w:tc>
      </w:tr>
      <w:tr w14:paraId="4DCB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146" w:type="dxa"/>
            <w:tcBorders>
              <w:tl2br w:val="nil"/>
              <w:tr2bl w:val="nil"/>
            </w:tcBorders>
            <w:shd w:val="clear" w:color="auto" w:fill="auto"/>
            <w:vAlign w:val="center"/>
          </w:tcPr>
          <w:p w14:paraId="79E3FD0A">
            <w:pPr>
              <w:keepNext w:val="0"/>
              <w:keepLines w:val="0"/>
              <w:widowControl/>
              <w:suppressLineNumbers w:val="0"/>
              <w:jc w:val="left"/>
            </w:pPr>
            <w:r>
              <w:rPr>
                <w:rFonts w:ascii="宋体" w:hAnsi="宋体" w:eastAsia="宋体" w:cs="宋体"/>
                <w:kern w:val="0"/>
                <w:sz w:val="24"/>
                <w:szCs w:val="24"/>
                <w:lang w:val="en-US" w:eastAsia="zh-CN" w:bidi="ar"/>
              </w:rPr>
              <w:t>B4-4、综合实力</w:t>
            </w:r>
          </w:p>
        </w:tc>
        <w:tc>
          <w:tcPr>
            <w:tcW w:w="990" w:type="dxa"/>
            <w:tcBorders>
              <w:tl2br w:val="nil"/>
              <w:tr2bl w:val="nil"/>
            </w:tcBorders>
            <w:shd w:val="clear" w:color="auto" w:fill="auto"/>
            <w:vAlign w:val="center"/>
          </w:tcPr>
          <w:p w14:paraId="216E1A05">
            <w:pPr>
              <w:keepNext w:val="0"/>
              <w:keepLines w:val="0"/>
              <w:widowControl/>
              <w:suppressLineNumbers w:val="0"/>
              <w:jc w:val="left"/>
            </w:pPr>
            <w:r>
              <w:rPr>
                <w:rFonts w:ascii="宋体" w:hAnsi="宋体" w:eastAsia="宋体" w:cs="宋体"/>
                <w:kern w:val="0"/>
                <w:sz w:val="24"/>
                <w:szCs w:val="24"/>
                <w:lang w:val="en-US" w:eastAsia="zh-CN" w:bidi="ar"/>
              </w:rPr>
              <w:t>2</w:t>
            </w:r>
          </w:p>
        </w:tc>
        <w:tc>
          <w:tcPr>
            <w:tcW w:w="6180" w:type="dxa"/>
            <w:tcBorders>
              <w:tl2br w:val="nil"/>
              <w:tr2bl w:val="nil"/>
            </w:tcBorders>
            <w:shd w:val="clear" w:color="auto" w:fill="auto"/>
            <w:vAlign w:val="center"/>
          </w:tcPr>
          <w:p w14:paraId="4C5D6EE8">
            <w:pPr>
              <w:keepNext w:val="0"/>
              <w:keepLines w:val="0"/>
              <w:widowControl/>
              <w:suppressLineNumbers w:val="0"/>
              <w:jc w:val="left"/>
            </w:pPr>
            <w:r>
              <w:rPr>
                <w:rFonts w:ascii="宋体" w:hAnsi="宋体" w:eastAsia="宋体" w:cs="宋体"/>
                <w:kern w:val="0"/>
                <w:sz w:val="24"/>
                <w:szCs w:val="24"/>
                <w:lang w:val="en-US" w:eastAsia="zh-CN" w:bidi="ar"/>
              </w:rPr>
              <w:t>投标人被收录为民政部救灾司、国家减灾中心编制的《自然灾害应急救助物资生产商参考名录（2019版）》的得2分。注：须提供相关证明材料，否则不得分。（满分2分）</w:t>
            </w:r>
          </w:p>
        </w:tc>
      </w:tr>
    </w:tbl>
    <w:p w14:paraId="257A4AC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A39130F">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58F2EE65">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287D600E">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1530C108">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0EFC46C">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66D32F37">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08F7EABD">
      <w:pPr>
        <w:pStyle w:val="5"/>
        <w:keepNext w:val="0"/>
        <w:keepLines w:val="0"/>
        <w:widowControl/>
        <w:suppressLineNumbers w:val="0"/>
        <w:spacing w:before="0" w:beforeAutospacing="0" w:after="150" w:afterAutospacing="0"/>
        <w:ind w:left="0" w:right="0" w:firstLine="480"/>
        <w:rPr>
          <w:rFonts w:hint="eastAsia" w:ascii="宋体" w:hAnsi="宋体" w:eastAsia="宋体" w:cs="宋体"/>
          <w:sz w:val="24"/>
          <w:szCs w:val="24"/>
        </w:rPr>
      </w:pPr>
    </w:p>
    <w:p w14:paraId="3199C0B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④加分项（</w:t>
      </w:r>
      <w:r>
        <w:rPr>
          <w:rFonts w:hint="default" w:ascii="Calibri" w:hAnsi="Calibri" w:eastAsia="宋体" w:cs="Calibri"/>
          <w:sz w:val="24"/>
          <w:szCs w:val="24"/>
        </w:rPr>
        <w:t>F4</w:t>
      </w:r>
      <w:r>
        <w:rPr>
          <w:rFonts w:hint="eastAsia" w:ascii="宋体" w:hAnsi="宋体" w:eastAsia="宋体" w:cs="宋体"/>
          <w:sz w:val="24"/>
          <w:szCs w:val="24"/>
        </w:rPr>
        <w:t>×</w:t>
      </w:r>
      <w:r>
        <w:rPr>
          <w:rFonts w:hint="default" w:ascii="Calibri" w:hAnsi="Calibri" w:eastAsia="宋体" w:cs="Calibri"/>
          <w:sz w:val="24"/>
          <w:szCs w:val="24"/>
        </w:rPr>
        <w:t>A4</w:t>
      </w:r>
      <w:r>
        <w:rPr>
          <w:rFonts w:hint="eastAsia" w:ascii="宋体" w:hAnsi="宋体" w:eastAsia="宋体" w:cs="宋体"/>
          <w:sz w:val="24"/>
          <w:szCs w:val="24"/>
        </w:rPr>
        <w:t>）</w:t>
      </w:r>
    </w:p>
    <w:p w14:paraId="39FA309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a.优先类节能产品、环境标志产品：</w:t>
      </w:r>
    </w:p>
    <w:p w14:paraId="0A0913A8">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a1若同一合同包内节能、环境标志产品报价总金额低于该合同包报价总金额</w:t>
      </w:r>
      <w:r>
        <w:rPr>
          <w:rFonts w:hint="default" w:ascii="Calibri" w:hAnsi="Calibri" w:eastAsia="宋体" w:cs="Calibri"/>
          <w:sz w:val="24"/>
          <w:szCs w:val="24"/>
        </w:rPr>
        <w:t>20%</w:t>
      </w:r>
      <w:r>
        <w:rPr>
          <w:rFonts w:hint="eastAsia" w:ascii="宋体" w:hAnsi="宋体" w:eastAsia="宋体" w:cs="宋体"/>
          <w:sz w:val="24"/>
          <w:szCs w:val="24"/>
        </w:rPr>
        <w:t>（含</w:t>
      </w:r>
      <w:r>
        <w:rPr>
          <w:rFonts w:hint="default" w:ascii="Calibri" w:hAnsi="Calibri" w:eastAsia="宋体" w:cs="Calibri"/>
          <w:sz w:val="24"/>
          <w:szCs w:val="24"/>
        </w:rPr>
        <w:t>20%</w:t>
      </w:r>
      <w:r>
        <w:rPr>
          <w:rFonts w:hint="eastAsia" w:ascii="宋体" w:hAnsi="宋体" w:eastAsia="宋体" w:cs="宋体"/>
          <w:sz w:val="24"/>
          <w:szCs w:val="24"/>
        </w:rPr>
        <w:t>）以下，将分别给予节能、环境标志产品价格项（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4%</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20%-50%</w:t>
      </w:r>
      <w:r>
        <w:rPr>
          <w:rFonts w:hint="eastAsia" w:ascii="宋体" w:hAnsi="宋体" w:eastAsia="宋体" w:cs="宋体"/>
          <w:sz w:val="24"/>
          <w:szCs w:val="24"/>
        </w:rPr>
        <w:t>（含</w:t>
      </w:r>
      <w:r>
        <w:rPr>
          <w:rFonts w:hint="default" w:ascii="Calibri" w:hAnsi="Calibri" w:eastAsia="宋体" w:cs="Calibri"/>
          <w:sz w:val="24"/>
          <w:szCs w:val="24"/>
        </w:rPr>
        <w:t>50%</w:t>
      </w:r>
      <w:r>
        <w:rPr>
          <w:rFonts w:hint="eastAsia" w:ascii="宋体" w:hAnsi="宋体" w:eastAsia="宋体" w:cs="宋体"/>
          <w:sz w:val="24"/>
          <w:szCs w:val="24"/>
        </w:rPr>
        <w:t>），将分别给予节能、环境标志产品价格项（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6%</w:t>
      </w:r>
      <w:r>
        <w:rPr>
          <w:rFonts w:hint="eastAsia" w:ascii="宋体" w:hAnsi="宋体" w:eastAsia="宋体" w:cs="宋体"/>
          <w:sz w:val="24"/>
          <w:szCs w:val="24"/>
        </w:rPr>
        <w:t>的加分；若同一合同包内节能、环境标志产品报价总金额占该合同包报价总金额</w:t>
      </w:r>
      <w:r>
        <w:rPr>
          <w:rFonts w:hint="default" w:ascii="Calibri" w:hAnsi="Calibri" w:eastAsia="宋体" w:cs="Calibri"/>
          <w:sz w:val="24"/>
          <w:szCs w:val="24"/>
        </w:rPr>
        <w:t>50%</w:t>
      </w:r>
      <w:r>
        <w:rPr>
          <w:rFonts w:hint="eastAsia" w:ascii="宋体" w:hAnsi="宋体" w:eastAsia="宋体" w:cs="宋体"/>
          <w:sz w:val="24"/>
          <w:szCs w:val="24"/>
        </w:rPr>
        <w:t>以上的，将分别给予节能、环境标志产品价格项（</w:t>
      </w:r>
      <w:r>
        <w:rPr>
          <w:rFonts w:hint="default" w:ascii="Calibri" w:hAnsi="Calibri" w:eastAsia="宋体" w:cs="Calibri"/>
          <w:sz w:val="24"/>
          <w:szCs w:val="24"/>
        </w:rPr>
        <w:t>F1</w:t>
      </w:r>
      <w:r>
        <w:rPr>
          <w:rFonts w:hint="eastAsia" w:ascii="宋体" w:hAnsi="宋体" w:eastAsia="宋体" w:cs="宋体"/>
          <w:sz w:val="24"/>
          <w:szCs w:val="24"/>
        </w:rPr>
        <w:t>×</w:t>
      </w:r>
      <w:r>
        <w:rPr>
          <w:rFonts w:hint="default" w:ascii="Calibri" w:hAnsi="Calibri" w:eastAsia="宋体" w:cs="Calibri"/>
          <w:sz w:val="24"/>
          <w:szCs w:val="24"/>
        </w:rPr>
        <w:t>A1</w:t>
      </w:r>
      <w:r>
        <w:rPr>
          <w:rFonts w:hint="eastAsia" w:ascii="宋体" w:hAnsi="宋体" w:eastAsia="宋体" w:cs="宋体"/>
          <w:sz w:val="24"/>
          <w:szCs w:val="24"/>
        </w:rPr>
        <w:t>，按照满分计）和技术项（</w:t>
      </w:r>
      <w:r>
        <w:rPr>
          <w:rFonts w:hint="default" w:ascii="Calibri" w:hAnsi="Calibri" w:eastAsia="宋体" w:cs="Calibri"/>
          <w:sz w:val="24"/>
          <w:szCs w:val="24"/>
        </w:rPr>
        <w:t>F2</w:t>
      </w:r>
      <w:r>
        <w:rPr>
          <w:rFonts w:hint="eastAsia" w:ascii="宋体" w:hAnsi="宋体" w:eastAsia="宋体" w:cs="宋体"/>
          <w:sz w:val="24"/>
          <w:szCs w:val="24"/>
        </w:rPr>
        <w:t>×</w:t>
      </w:r>
      <w:r>
        <w:rPr>
          <w:rFonts w:hint="default" w:ascii="Calibri" w:hAnsi="Calibri" w:eastAsia="宋体" w:cs="Calibri"/>
          <w:sz w:val="24"/>
          <w:szCs w:val="24"/>
        </w:rPr>
        <w:t>A2</w:t>
      </w:r>
      <w:r>
        <w:rPr>
          <w:rFonts w:hint="eastAsia" w:ascii="宋体" w:hAnsi="宋体" w:eastAsia="宋体" w:cs="宋体"/>
          <w:sz w:val="24"/>
          <w:szCs w:val="24"/>
        </w:rPr>
        <w:t>，按照满分计）</w:t>
      </w:r>
      <w:r>
        <w:rPr>
          <w:rFonts w:hint="default" w:ascii="Calibri" w:hAnsi="Calibri" w:eastAsia="宋体" w:cs="Calibri"/>
          <w:sz w:val="24"/>
          <w:szCs w:val="24"/>
        </w:rPr>
        <w:t>8%</w:t>
      </w:r>
      <w:r>
        <w:rPr>
          <w:rFonts w:hint="eastAsia" w:ascii="宋体" w:hAnsi="宋体" w:eastAsia="宋体" w:cs="宋体"/>
          <w:sz w:val="24"/>
          <w:szCs w:val="24"/>
        </w:rPr>
        <w:t>的加分。</w:t>
      </w:r>
    </w:p>
    <w:p w14:paraId="5DABEC2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a2若节能、环境标志产品仅是构成投标产品的部件、组件或零件，则该投标产品不享受鼓励优惠政策。同一品目中各认证证书不重复计算加分。强制类节能产品不享受加分。</w:t>
      </w:r>
    </w:p>
    <w:tbl>
      <w:tblPr>
        <w:tblStyle w:val="6"/>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1011"/>
        <w:gridCol w:w="1125"/>
        <w:gridCol w:w="6164"/>
      </w:tblGrid>
      <w:tr w14:paraId="365E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857" w:hRule="atLeast"/>
          <w:tblHeader/>
        </w:trPr>
        <w:tc>
          <w:tcPr>
            <w:tcW w:w="1011" w:type="dxa"/>
            <w:tcBorders>
              <w:tl2br w:val="nil"/>
              <w:tr2bl w:val="nil"/>
            </w:tcBorders>
            <w:shd w:val="clear" w:color="auto" w:fill="auto"/>
            <w:vAlign w:val="center"/>
          </w:tcPr>
          <w:p w14:paraId="42A21D12">
            <w:pPr>
              <w:keepNext w:val="0"/>
              <w:keepLines w:val="0"/>
              <w:widowControl/>
              <w:suppressLineNumbers w:val="0"/>
              <w:jc w:val="center"/>
            </w:pPr>
            <w:r>
              <w:rPr>
                <w:rFonts w:ascii="宋体" w:hAnsi="宋体" w:eastAsia="宋体" w:cs="宋体"/>
                <w:kern w:val="0"/>
                <w:sz w:val="24"/>
                <w:szCs w:val="24"/>
                <w:lang w:val="en-US" w:eastAsia="zh-CN" w:bidi="ar"/>
              </w:rPr>
              <w:t>评标项目</w:t>
            </w:r>
          </w:p>
        </w:tc>
        <w:tc>
          <w:tcPr>
            <w:tcW w:w="1125" w:type="dxa"/>
            <w:tcBorders>
              <w:tl2br w:val="nil"/>
              <w:tr2bl w:val="nil"/>
            </w:tcBorders>
            <w:shd w:val="clear" w:color="auto" w:fill="auto"/>
            <w:vAlign w:val="center"/>
          </w:tcPr>
          <w:p w14:paraId="34875816">
            <w:pPr>
              <w:keepNext w:val="0"/>
              <w:keepLines w:val="0"/>
              <w:widowControl/>
              <w:suppressLineNumbers w:val="0"/>
              <w:jc w:val="center"/>
            </w:pPr>
            <w:r>
              <w:rPr>
                <w:rFonts w:ascii="宋体" w:hAnsi="宋体" w:eastAsia="宋体" w:cs="宋体"/>
                <w:kern w:val="0"/>
                <w:sz w:val="24"/>
                <w:szCs w:val="24"/>
                <w:lang w:val="en-US" w:eastAsia="zh-CN" w:bidi="ar"/>
              </w:rPr>
              <w:t>评标分值</w:t>
            </w:r>
          </w:p>
        </w:tc>
        <w:tc>
          <w:tcPr>
            <w:tcW w:w="6164" w:type="dxa"/>
            <w:tcBorders>
              <w:tl2br w:val="nil"/>
              <w:tr2bl w:val="nil"/>
            </w:tcBorders>
            <w:shd w:val="clear" w:color="auto" w:fill="auto"/>
            <w:vAlign w:val="center"/>
          </w:tcPr>
          <w:p w14:paraId="6145ABA9">
            <w:pPr>
              <w:keepNext w:val="0"/>
              <w:keepLines w:val="0"/>
              <w:widowControl/>
              <w:suppressLineNumbers w:val="0"/>
              <w:jc w:val="center"/>
            </w:pPr>
            <w:r>
              <w:rPr>
                <w:rFonts w:ascii="宋体" w:hAnsi="宋体" w:eastAsia="宋体" w:cs="宋体"/>
                <w:kern w:val="0"/>
                <w:sz w:val="24"/>
                <w:szCs w:val="24"/>
                <w:lang w:val="en-US" w:eastAsia="zh-CN" w:bidi="ar"/>
              </w:rPr>
              <w:t>评标方法描述</w:t>
            </w:r>
          </w:p>
        </w:tc>
      </w:tr>
      <w:tr w14:paraId="5EB3D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200" w:hRule="atLeast"/>
        </w:trPr>
        <w:tc>
          <w:tcPr>
            <w:tcW w:w="1011" w:type="dxa"/>
            <w:tcBorders>
              <w:tl2br w:val="nil"/>
              <w:tr2bl w:val="nil"/>
            </w:tcBorders>
            <w:shd w:val="clear" w:color="auto" w:fill="auto"/>
            <w:vAlign w:val="center"/>
          </w:tcPr>
          <w:p w14:paraId="23F8C6D2">
            <w:pPr>
              <w:keepNext w:val="0"/>
              <w:keepLines w:val="0"/>
              <w:widowControl/>
              <w:suppressLineNumbers w:val="0"/>
              <w:jc w:val="left"/>
            </w:pPr>
            <w:r>
              <w:rPr>
                <w:rFonts w:ascii="宋体" w:hAnsi="宋体" w:eastAsia="宋体" w:cs="宋体"/>
                <w:kern w:val="0"/>
                <w:sz w:val="24"/>
                <w:szCs w:val="24"/>
                <w:lang w:val="en-US" w:eastAsia="zh-CN" w:bidi="ar"/>
              </w:rPr>
              <w:t>节能、减排、环境标志产品部分</w:t>
            </w:r>
          </w:p>
        </w:tc>
        <w:tc>
          <w:tcPr>
            <w:tcW w:w="1125" w:type="dxa"/>
            <w:tcBorders>
              <w:tl2br w:val="nil"/>
              <w:tr2bl w:val="nil"/>
            </w:tcBorders>
            <w:shd w:val="clear" w:color="auto" w:fill="auto"/>
            <w:vAlign w:val="center"/>
          </w:tcPr>
          <w:p w14:paraId="21C075B2">
            <w:pPr>
              <w:keepNext w:val="0"/>
              <w:keepLines w:val="0"/>
              <w:widowControl/>
              <w:suppressLineNumbers w:val="0"/>
              <w:jc w:val="center"/>
            </w:pPr>
            <w:r>
              <w:rPr>
                <w:rFonts w:ascii="宋体" w:hAnsi="宋体" w:eastAsia="宋体" w:cs="宋体"/>
                <w:kern w:val="0"/>
                <w:sz w:val="24"/>
                <w:szCs w:val="24"/>
                <w:lang w:val="en-US" w:eastAsia="zh-CN" w:bidi="ar"/>
              </w:rPr>
              <w:t>6.8</w:t>
            </w:r>
          </w:p>
        </w:tc>
        <w:tc>
          <w:tcPr>
            <w:tcW w:w="6164" w:type="dxa"/>
            <w:tcBorders>
              <w:tl2br w:val="nil"/>
              <w:tr2bl w:val="nil"/>
            </w:tcBorders>
            <w:shd w:val="clear" w:color="auto" w:fill="auto"/>
            <w:vAlign w:val="center"/>
          </w:tcPr>
          <w:p w14:paraId="066E66DA">
            <w:pPr>
              <w:keepNext w:val="0"/>
              <w:keepLines w:val="0"/>
              <w:widowControl/>
              <w:suppressLineNumbers w:val="0"/>
              <w:jc w:val="left"/>
            </w:pPr>
            <w:r>
              <w:rPr>
                <w:rFonts w:ascii="宋体" w:hAnsi="宋体" w:eastAsia="宋体" w:cs="宋体"/>
                <w:kern w:val="0"/>
                <w:sz w:val="24"/>
                <w:szCs w:val="24"/>
                <w:lang w:val="en-US" w:eastAsia="zh-CN" w:bidi="ar"/>
              </w:rPr>
              <w:t>（1）根据《国务院办公厅关于建立政府强制采购节能产品制度的通知》(国办发[2007]51号)和财政部、发展改革委发布的《节能产品政府采购实施意见》(财库[2004]185号)以及《财政部、国家发展改革委关于调整节能产品政府采购清单的通知》财库〔2017〕129号的规定，节能清单中的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具体品目以“★”标注)，本次采购货物中属政府强制采购节能产品的，投标人所投产品必须是财政部、国家发展改革委公示的《节能产品政府采购清单》内产品，并提供产品的证明资料复印件加盖投标人公章，否则投标无效。 (2)节能(非强制类产品)、减排、环境标志产品评审优惠内容及幅度如下： ①、若同一合同包内的节能(非强制类产品)、减排、环境标志产品报价总金额低于本合同包报价总金额20%(含20%)以下的，将分别给予节能、减排、环境标志产品价格评标项和技术评标项标准总分值4％的加分； ②、若同一合同包内节能(非强制类产品)、减排、环境标志产品报价总金额占本合同包报价总金额20%-50%(含50%)的，将分别给予节能、减排、环境标志产品在价格评标项和技术评标项标准总分值6％的加分； ③、若同一合同包内节能(非强制类产品)、减排、环境标志产品报价总金额占本合同包报价总金额50%以上的，将分别给予节能、减排、环境标志产品在价格评标项和技术评标项标准总分值8％的加分。 注：本次政府采购活动已经开展但尚未进入评审环节的，执行本期和下期节能清单。对于同时列入财政部、环境保护部公示的《环境标志产品政府采购清单》和财政部、国家发展改革委公示的《节能产品政府采购清单》的产品，应当优先于只获得其中一项认证的产品。 投标人在投标时必须对属于节能、减排、环境标志产品单独在节能（非强制类）、环境标志产品统计表中填写，并提供产品的证明资料复印件附在报价部分(电子证明资料应上传在对应评分模块)且加盖投标人公章。未单独分项报价或未按规定提供产品的证明资料的不给予加分。投标产品属于节能、减排、环境标志清单内产品的，可享受相关的鼓励优惠政策；若节能、减排、环境标志清单内的产品仅是构成投标产品的部件、组件或零件的，则该投标产品不享受鼓励优惠政策。评标委员会审查此项响应性只根据投标文件本身的内容，而不寻求其他的外部证据。</w:t>
            </w:r>
          </w:p>
        </w:tc>
      </w:tr>
    </w:tbl>
    <w:p w14:paraId="2C95877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（4）中标候选人排列规则顺序如下：</w:t>
      </w:r>
    </w:p>
    <w:p w14:paraId="376CF8A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a.按照评标总得分（</w:t>
      </w:r>
      <w:r>
        <w:rPr>
          <w:rFonts w:hint="default" w:ascii="Calibri" w:hAnsi="Calibri" w:eastAsia="宋体" w:cs="Calibri"/>
          <w:sz w:val="24"/>
          <w:szCs w:val="24"/>
        </w:rPr>
        <w:t>FA</w:t>
      </w:r>
      <w:r>
        <w:rPr>
          <w:rFonts w:hint="eastAsia" w:ascii="宋体" w:hAnsi="宋体" w:eastAsia="宋体" w:cs="宋体"/>
          <w:sz w:val="24"/>
          <w:szCs w:val="24"/>
        </w:rPr>
        <w:t>）由高到低顺序排列。</w:t>
      </w:r>
    </w:p>
    <w:p w14:paraId="62F2919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b.评标总得分（</w:t>
      </w:r>
      <w:r>
        <w:rPr>
          <w:rFonts w:hint="default" w:ascii="Calibri" w:hAnsi="Calibri" w:eastAsia="宋体" w:cs="Calibri"/>
          <w:sz w:val="24"/>
          <w:szCs w:val="24"/>
        </w:rPr>
        <w:t>FA</w:t>
      </w:r>
      <w:r>
        <w:rPr>
          <w:rFonts w:hint="eastAsia" w:ascii="宋体" w:hAnsi="宋体" w:eastAsia="宋体" w:cs="宋体"/>
          <w:sz w:val="24"/>
          <w:szCs w:val="24"/>
        </w:rPr>
        <w:t>）相同的，按照评标价（即价格扣除后的投标报价）由低到高顺序排列。</w:t>
      </w:r>
    </w:p>
    <w:p w14:paraId="6FD596E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c.评标总得分（</w:t>
      </w:r>
      <w:r>
        <w:rPr>
          <w:rFonts w:hint="default" w:ascii="Calibri" w:hAnsi="Calibri" w:eastAsia="宋体" w:cs="Calibri"/>
          <w:sz w:val="24"/>
          <w:szCs w:val="24"/>
        </w:rPr>
        <w:t>FA</w:t>
      </w:r>
      <w:r>
        <w:rPr>
          <w:rFonts w:hint="eastAsia" w:ascii="宋体" w:hAnsi="宋体" w:eastAsia="宋体" w:cs="宋体"/>
          <w:sz w:val="24"/>
          <w:szCs w:val="24"/>
        </w:rPr>
        <w:t>）且评标价（即价格扣除后的投标报价）相同的并列。</w:t>
      </w:r>
    </w:p>
    <w:p w14:paraId="79D0B70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8、其他规定</w:t>
      </w:r>
    </w:p>
    <w:p w14:paraId="5F26172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8.1评标应全程保密且不得透露给任一投标人或与评标工作无关的人员。</w:t>
      </w:r>
    </w:p>
    <w:p w14:paraId="1A2B7D1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8.2评标将进行全程实时录音录像，录音录像资料随采购文件一并存档。</w:t>
      </w:r>
    </w:p>
    <w:p w14:paraId="74FF09E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8.3若投标人有任何试图干扰具体评标事务，影响评标委员会独立履行职责的行为，其投标无效且不予退还投标保证金。情节严重的，由财政部门列入不良行为记录。</w:t>
      </w:r>
    </w:p>
    <w:p w14:paraId="259DEC2E">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8.4其他：</w:t>
      </w:r>
      <w:r>
        <w:rPr>
          <w:spacing w:val="0"/>
          <w:sz w:val="24"/>
          <w:szCs w:val="24"/>
        </w:rPr>
        <w:t>无</w:t>
      </w:r>
    </w:p>
    <w:p w14:paraId="188E9668">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14:paraId="4CDECB64">
      <w:pPr>
        <w:pStyle w:val="5"/>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 </w:t>
      </w:r>
    </w:p>
    <w:p w14:paraId="0041C5F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40900B0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DD335E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0D2510F1">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92DA970">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55818E20">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第五章</w:t>
      </w:r>
      <w:r>
        <w:rPr>
          <w:rStyle w:val="8"/>
          <w:b/>
          <w:spacing w:val="0"/>
          <w:sz w:val="31"/>
          <w:szCs w:val="31"/>
        </w:rPr>
        <w:t>   </w:t>
      </w:r>
      <w:r>
        <w:rPr>
          <w:rStyle w:val="8"/>
          <w:rFonts w:hint="eastAsia" w:ascii="宋体" w:hAnsi="宋体" w:eastAsia="宋体" w:cs="宋体"/>
          <w:b/>
          <w:spacing w:val="0"/>
          <w:sz w:val="31"/>
          <w:szCs w:val="31"/>
        </w:rPr>
        <w:t>招标内容及要求</w:t>
      </w:r>
    </w:p>
    <w:p w14:paraId="634704CC">
      <w:pPr>
        <w:pStyle w:val="5"/>
        <w:keepNext w:val="0"/>
        <w:keepLines w:val="0"/>
        <w:widowControl/>
        <w:suppressLineNumbers w:val="0"/>
        <w:spacing w:before="75" w:beforeAutospacing="0" w:after="75" w:afterAutospacing="0"/>
        <w:ind w:left="0" w:right="0" w:firstLine="0"/>
      </w:pPr>
      <w:r>
        <w:rPr>
          <w:spacing w:val="0"/>
          <w:sz w:val="24"/>
          <w:szCs w:val="24"/>
        </w:rPr>
        <w:t>一、项目概况（采购标的）</w:t>
      </w:r>
    </w:p>
    <w:p w14:paraId="20E16BE5">
      <w:pPr>
        <w:pStyle w:val="5"/>
        <w:keepNext w:val="0"/>
        <w:keepLines w:val="0"/>
        <w:widowControl/>
        <w:suppressLineNumbers w:val="0"/>
        <w:spacing w:before="0" w:beforeAutospacing="0" w:after="150" w:afterAutospacing="0"/>
        <w:ind w:left="0" w:right="0"/>
      </w:pPr>
      <w:r>
        <w:rPr>
          <w:rFonts w:hint="eastAsia" w:ascii="宋体" w:hAnsi="宋体" w:eastAsia="宋体" w:cs="宋体"/>
          <w:spacing w:val="0"/>
          <w:sz w:val="24"/>
          <w:szCs w:val="24"/>
        </w:rPr>
        <w:t>    本次招标采购的产品主要用于福建省粮食和物资储备局使用。投标人提供的所有产品必须通过合法渠道获得，具有在中国境内的合法使用权和用户保护权且为全新原装品 牌货物。产品技术参数必须符合国家及行业相关标准。</w:t>
      </w:r>
    </w:p>
    <w:p w14:paraId="37C2DE3B">
      <w:pPr>
        <w:pStyle w:val="5"/>
        <w:keepNext w:val="0"/>
        <w:keepLines w:val="0"/>
        <w:widowControl/>
        <w:suppressLineNumbers w:val="0"/>
        <w:spacing w:before="0" w:beforeAutospacing="0" w:after="150" w:afterAutospacing="0"/>
        <w:ind w:left="0" w:right="0"/>
      </w:pPr>
    </w:p>
    <w:p w14:paraId="31D9AA9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二、技术和服务要求</w:t>
      </w:r>
      <w:r>
        <w:rPr>
          <w:rStyle w:val="8"/>
          <w:rFonts w:hint="eastAsia" w:ascii="宋体" w:hAnsi="宋体" w:eastAsia="宋体" w:cs="宋体"/>
          <w:b/>
          <w:spacing w:val="0"/>
          <w:sz w:val="24"/>
          <w:szCs w:val="24"/>
        </w:rPr>
        <w:t>（以“★”标示的内容为不允许负偏离的实质性要求）</w:t>
      </w:r>
    </w:p>
    <w:p w14:paraId="4CFD772D">
      <w:pPr>
        <w:pStyle w:val="5"/>
        <w:keepNext w:val="0"/>
        <w:keepLines w:val="0"/>
        <w:widowControl/>
        <w:suppressLineNumbers w:val="0"/>
        <w:spacing w:before="0" w:beforeAutospacing="0" w:after="150" w:afterAutospacing="0"/>
        <w:ind w:left="0" w:right="0"/>
      </w:pPr>
      <w:r>
        <w:rPr>
          <w:rFonts w:ascii="黑体" w:hAnsi="宋体" w:eastAsia="黑体" w:cs="黑体"/>
          <w:sz w:val="28"/>
          <w:szCs w:val="28"/>
          <w:shd w:val="clear" w:fill="FFFFFF"/>
        </w:rPr>
        <w:t>合同包</w:t>
      </w:r>
      <w:r>
        <w:rPr>
          <w:rFonts w:hint="eastAsia" w:ascii="黑体" w:hAnsi="宋体" w:eastAsia="黑体" w:cs="黑体"/>
          <w:sz w:val="28"/>
          <w:szCs w:val="28"/>
          <w:shd w:val="clear" w:fill="FFFFFF"/>
        </w:rPr>
        <w:t>1：棉大衣</w:t>
      </w:r>
    </w:p>
    <w:p w14:paraId="4CE4B09E">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1、基本参数：</w:t>
      </w:r>
    </w:p>
    <w:p w14:paraId="30AAD856">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1.1尺寸（cm）：</w:t>
      </w:r>
    </w:p>
    <w:tbl>
      <w:tblPr>
        <w:tblStyle w:val="6"/>
        <w:tblW w:w="8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575"/>
        <w:gridCol w:w="2040"/>
        <w:gridCol w:w="1125"/>
        <w:gridCol w:w="1080"/>
        <w:gridCol w:w="1170"/>
        <w:gridCol w:w="1695"/>
      </w:tblGrid>
      <w:tr w14:paraId="6608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34E8F03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序号</w:t>
            </w:r>
          </w:p>
        </w:tc>
        <w:tc>
          <w:tcPr>
            <w:tcW w:w="2040" w:type="dxa"/>
            <w:tcBorders>
              <w:tl2br w:val="nil"/>
              <w:tr2bl w:val="nil"/>
            </w:tcBorders>
            <w:shd w:val="clear" w:color="auto" w:fill="auto"/>
            <w:tcMar>
              <w:top w:w="0" w:type="dxa"/>
              <w:left w:w="90" w:type="dxa"/>
              <w:bottom w:w="0" w:type="dxa"/>
              <w:right w:w="90" w:type="dxa"/>
            </w:tcMar>
            <w:vAlign w:val="center"/>
          </w:tcPr>
          <w:p w14:paraId="207FCF79">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部位名 称</w:t>
            </w:r>
          </w:p>
        </w:tc>
        <w:tc>
          <w:tcPr>
            <w:tcW w:w="1125" w:type="dxa"/>
            <w:tcBorders>
              <w:tl2br w:val="nil"/>
              <w:tr2bl w:val="nil"/>
            </w:tcBorders>
            <w:shd w:val="clear" w:color="auto" w:fill="auto"/>
            <w:tcMar>
              <w:top w:w="0" w:type="dxa"/>
              <w:left w:w="90" w:type="dxa"/>
              <w:bottom w:w="0" w:type="dxa"/>
              <w:right w:w="90" w:type="dxa"/>
            </w:tcMar>
            <w:vAlign w:val="center"/>
          </w:tcPr>
          <w:p w14:paraId="7D27A082">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小号</w:t>
            </w:r>
          </w:p>
        </w:tc>
        <w:tc>
          <w:tcPr>
            <w:tcW w:w="1080" w:type="dxa"/>
            <w:tcBorders>
              <w:tl2br w:val="nil"/>
              <w:tr2bl w:val="nil"/>
            </w:tcBorders>
            <w:shd w:val="clear" w:color="auto" w:fill="auto"/>
            <w:tcMar>
              <w:top w:w="0" w:type="dxa"/>
              <w:left w:w="90" w:type="dxa"/>
              <w:bottom w:w="0" w:type="dxa"/>
              <w:right w:w="90" w:type="dxa"/>
            </w:tcMar>
            <w:vAlign w:val="center"/>
          </w:tcPr>
          <w:p w14:paraId="3F620583">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中号</w:t>
            </w:r>
          </w:p>
        </w:tc>
        <w:tc>
          <w:tcPr>
            <w:tcW w:w="1170" w:type="dxa"/>
            <w:tcBorders>
              <w:tl2br w:val="nil"/>
              <w:tr2bl w:val="nil"/>
            </w:tcBorders>
            <w:shd w:val="clear" w:color="auto" w:fill="auto"/>
            <w:tcMar>
              <w:top w:w="0" w:type="dxa"/>
              <w:left w:w="90" w:type="dxa"/>
              <w:bottom w:w="0" w:type="dxa"/>
              <w:right w:w="90" w:type="dxa"/>
            </w:tcMar>
            <w:vAlign w:val="center"/>
          </w:tcPr>
          <w:p w14:paraId="082F7F8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大号</w:t>
            </w:r>
          </w:p>
        </w:tc>
        <w:tc>
          <w:tcPr>
            <w:tcW w:w="1695" w:type="dxa"/>
            <w:tcBorders>
              <w:tl2br w:val="nil"/>
              <w:tr2bl w:val="nil"/>
            </w:tcBorders>
            <w:shd w:val="clear" w:color="auto" w:fill="auto"/>
            <w:tcMar>
              <w:top w:w="0" w:type="dxa"/>
              <w:left w:w="90" w:type="dxa"/>
              <w:bottom w:w="0" w:type="dxa"/>
              <w:right w:w="90" w:type="dxa"/>
            </w:tcMar>
            <w:vAlign w:val="center"/>
          </w:tcPr>
          <w:p w14:paraId="39253DA4">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允许偏差</w:t>
            </w:r>
          </w:p>
        </w:tc>
      </w:tr>
      <w:tr w14:paraId="6720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09ACFFBF">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w:t>
            </w:r>
          </w:p>
        </w:tc>
        <w:tc>
          <w:tcPr>
            <w:tcW w:w="2040" w:type="dxa"/>
            <w:tcBorders>
              <w:tl2br w:val="nil"/>
              <w:tr2bl w:val="nil"/>
            </w:tcBorders>
            <w:shd w:val="clear" w:color="auto" w:fill="auto"/>
            <w:tcMar>
              <w:top w:w="0" w:type="dxa"/>
              <w:left w:w="90" w:type="dxa"/>
              <w:bottom w:w="0" w:type="dxa"/>
              <w:right w:w="90" w:type="dxa"/>
            </w:tcMar>
            <w:vAlign w:val="center"/>
          </w:tcPr>
          <w:p w14:paraId="5744D2A0">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前身长</w:t>
            </w:r>
          </w:p>
        </w:tc>
        <w:tc>
          <w:tcPr>
            <w:tcW w:w="1125" w:type="dxa"/>
            <w:tcBorders>
              <w:tl2br w:val="nil"/>
              <w:tr2bl w:val="nil"/>
            </w:tcBorders>
            <w:shd w:val="clear" w:color="auto" w:fill="auto"/>
            <w:tcMar>
              <w:top w:w="0" w:type="dxa"/>
              <w:left w:w="90" w:type="dxa"/>
              <w:bottom w:w="0" w:type="dxa"/>
              <w:right w:w="90" w:type="dxa"/>
            </w:tcMar>
            <w:vAlign w:val="center"/>
          </w:tcPr>
          <w:p w14:paraId="500A834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81</w:t>
            </w:r>
          </w:p>
        </w:tc>
        <w:tc>
          <w:tcPr>
            <w:tcW w:w="1080" w:type="dxa"/>
            <w:tcBorders>
              <w:tl2br w:val="nil"/>
              <w:tr2bl w:val="nil"/>
            </w:tcBorders>
            <w:shd w:val="clear" w:color="auto" w:fill="auto"/>
            <w:tcMar>
              <w:top w:w="0" w:type="dxa"/>
              <w:left w:w="90" w:type="dxa"/>
              <w:bottom w:w="0" w:type="dxa"/>
              <w:right w:w="90" w:type="dxa"/>
            </w:tcMar>
            <w:vAlign w:val="center"/>
          </w:tcPr>
          <w:p w14:paraId="4315EF89">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86</w:t>
            </w:r>
          </w:p>
        </w:tc>
        <w:tc>
          <w:tcPr>
            <w:tcW w:w="1170" w:type="dxa"/>
            <w:tcBorders>
              <w:tl2br w:val="nil"/>
              <w:tr2bl w:val="nil"/>
            </w:tcBorders>
            <w:shd w:val="clear" w:color="auto" w:fill="auto"/>
            <w:tcMar>
              <w:top w:w="0" w:type="dxa"/>
              <w:left w:w="90" w:type="dxa"/>
              <w:bottom w:w="0" w:type="dxa"/>
              <w:right w:w="90" w:type="dxa"/>
            </w:tcMar>
            <w:vAlign w:val="center"/>
          </w:tcPr>
          <w:p w14:paraId="776F4B2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91</w:t>
            </w:r>
          </w:p>
        </w:tc>
        <w:tc>
          <w:tcPr>
            <w:tcW w:w="1695" w:type="dxa"/>
            <w:tcBorders>
              <w:tl2br w:val="nil"/>
              <w:tr2bl w:val="nil"/>
            </w:tcBorders>
            <w:shd w:val="clear" w:color="auto" w:fill="auto"/>
            <w:tcMar>
              <w:top w:w="0" w:type="dxa"/>
              <w:left w:w="90" w:type="dxa"/>
              <w:bottom w:w="0" w:type="dxa"/>
              <w:right w:w="90" w:type="dxa"/>
            </w:tcMar>
            <w:vAlign w:val="center"/>
          </w:tcPr>
          <w:p w14:paraId="1CB6F6A4">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42D7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332C78A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w:t>
            </w:r>
          </w:p>
        </w:tc>
        <w:tc>
          <w:tcPr>
            <w:tcW w:w="2040" w:type="dxa"/>
            <w:tcBorders>
              <w:tl2br w:val="nil"/>
              <w:tr2bl w:val="nil"/>
            </w:tcBorders>
            <w:shd w:val="clear" w:color="auto" w:fill="auto"/>
            <w:tcMar>
              <w:top w:w="0" w:type="dxa"/>
              <w:left w:w="90" w:type="dxa"/>
              <w:bottom w:w="0" w:type="dxa"/>
              <w:right w:w="90" w:type="dxa"/>
            </w:tcMar>
            <w:vAlign w:val="center"/>
          </w:tcPr>
          <w:p w14:paraId="507C1ED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后身长</w:t>
            </w:r>
          </w:p>
        </w:tc>
        <w:tc>
          <w:tcPr>
            <w:tcW w:w="1125" w:type="dxa"/>
            <w:tcBorders>
              <w:tl2br w:val="nil"/>
              <w:tr2bl w:val="nil"/>
            </w:tcBorders>
            <w:shd w:val="clear" w:color="auto" w:fill="auto"/>
            <w:tcMar>
              <w:top w:w="0" w:type="dxa"/>
              <w:left w:w="90" w:type="dxa"/>
              <w:bottom w:w="0" w:type="dxa"/>
              <w:right w:w="90" w:type="dxa"/>
            </w:tcMar>
            <w:vAlign w:val="center"/>
          </w:tcPr>
          <w:p w14:paraId="7339487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80</w:t>
            </w:r>
          </w:p>
        </w:tc>
        <w:tc>
          <w:tcPr>
            <w:tcW w:w="1080" w:type="dxa"/>
            <w:tcBorders>
              <w:tl2br w:val="nil"/>
              <w:tr2bl w:val="nil"/>
            </w:tcBorders>
            <w:shd w:val="clear" w:color="auto" w:fill="auto"/>
            <w:tcMar>
              <w:top w:w="0" w:type="dxa"/>
              <w:left w:w="90" w:type="dxa"/>
              <w:bottom w:w="0" w:type="dxa"/>
              <w:right w:w="90" w:type="dxa"/>
            </w:tcMar>
            <w:vAlign w:val="center"/>
          </w:tcPr>
          <w:p w14:paraId="4CA1C93E">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85</w:t>
            </w:r>
          </w:p>
        </w:tc>
        <w:tc>
          <w:tcPr>
            <w:tcW w:w="1170" w:type="dxa"/>
            <w:tcBorders>
              <w:tl2br w:val="nil"/>
              <w:tr2bl w:val="nil"/>
            </w:tcBorders>
            <w:shd w:val="clear" w:color="auto" w:fill="auto"/>
            <w:tcMar>
              <w:top w:w="0" w:type="dxa"/>
              <w:left w:w="90" w:type="dxa"/>
              <w:bottom w:w="0" w:type="dxa"/>
              <w:right w:w="90" w:type="dxa"/>
            </w:tcMar>
            <w:vAlign w:val="center"/>
          </w:tcPr>
          <w:p w14:paraId="00AA50A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90</w:t>
            </w:r>
          </w:p>
        </w:tc>
        <w:tc>
          <w:tcPr>
            <w:tcW w:w="1695" w:type="dxa"/>
            <w:tcBorders>
              <w:tl2br w:val="nil"/>
              <w:tr2bl w:val="nil"/>
            </w:tcBorders>
            <w:shd w:val="clear" w:color="auto" w:fill="auto"/>
            <w:tcMar>
              <w:top w:w="0" w:type="dxa"/>
              <w:left w:w="90" w:type="dxa"/>
              <w:bottom w:w="0" w:type="dxa"/>
              <w:right w:w="90" w:type="dxa"/>
            </w:tcMar>
            <w:vAlign w:val="center"/>
          </w:tcPr>
          <w:p w14:paraId="10A51B7D">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3304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5B92679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3</w:t>
            </w:r>
          </w:p>
        </w:tc>
        <w:tc>
          <w:tcPr>
            <w:tcW w:w="2040" w:type="dxa"/>
            <w:tcBorders>
              <w:tl2br w:val="nil"/>
              <w:tr2bl w:val="nil"/>
            </w:tcBorders>
            <w:shd w:val="clear" w:color="auto" w:fill="auto"/>
            <w:tcMar>
              <w:top w:w="0" w:type="dxa"/>
              <w:left w:w="90" w:type="dxa"/>
              <w:bottom w:w="0" w:type="dxa"/>
              <w:right w:w="90" w:type="dxa"/>
            </w:tcMar>
            <w:vAlign w:val="center"/>
          </w:tcPr>
          <w:p w14:paraId="00D1FE8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袖长</w:t>
            </w:r>
          </w:p>
        </w:tc>
        <w:tc>
          <w:tcPr>
            <w:tcW w:w="1125" w:type="dxa"/>
            <w:tcBorders>
              <w:tl2br w:val="nil"/>
              <w:tr2bl w:val="nil"/>
            </w:tcBorders>
            <w:shd w:val="clear" w:color="auto" w:fill="auto"/>
            <w:tcMar>
              <w:top w:w="0" w:type="dxa"/>
              <w:left w:w="90" w:type="dxa"/>
              <w:bottom w:w="0" w:type="dxa"/>
              <w:right w:w="90" w:type="dxa"/>
            </w:tcMar>
            <w:vAlign w:val="center"/>
          </w:tcPr>
          <w:p w14:paraId="66992E97">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68</w:t>
            </w:r>
          </w:p>
        </w:tc>
        <w:tc>
          <w:tcPr>
            <w:tcW w:w="1080" w:type="dxa"/>
            <w:tcBorders>
              <w:tl2br w:val="nil"/>
              <w:tr2bl w:val="nil"/>
            </w:tcBorders>
            <w:shd w:val="clear" w:color="auto" w:fill="auto"/>
            <w:tcMar>
              <w:top w:w="0" w:type="dxa"/>
              <w:left w:w="90" w:type="dxa"/>
              <w:bottom w:w="0" w:type="dxa"/>
              <w:right w:w="90" w:type="dxa"/>
            </w:tcMar>
            <w:vAlign w:val="center"/>
          </w:tcPr>
          <w:p w14:paraId="51B3619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70</w:t>
            </w:r>
          </w:p>
        </w:tc>
        <w:tc>
          <w:tcPr>
            <w:tcW w:w="1170" w:type="dxa"/>
            <w:tcBorders>
              <w:tl2br w:val="nil"/>
              <w:tr2bl w:val="nil"/>
            </w:tcBorders>
            <w:shd w:val="clear" w:color="auto" w:fill="auto"/>
            <w:tcMar>
              <w:top w:w="0" w:type="dxa"/>
              <w:left w:w="90" w:type="dxa"/>
              <w:bottom w:w="0" w:type="dxa"/>
              <w:right w:w="90" w:type="dxa"/>
            </w:tcMar>
            <w:vAlign w:val="center"/>
          </w:tcPr>
          <w:p w14:paraId="749A3C4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72</w:t>
            </w:r>
          </w:p>
        </w:tc>
        <w:tc>
          <w:tcPr>
            <w:tcW w:w="1695" w:type="dxa"/>
            <w:tcBorders>
              <w:tl2br w:val="nil"/>
              <w:tr2bl w:val="nil"/>
            </w:tcBorders>
            <w:shd w:val="clear" w:color="auto" w:fill="auto"/>
            <w:tcMar>
              <w:top w:w="0" w:type="dxa"/>
              <w:left w:w="90" w:type="dxa"/>
              <w:bottom w:w="0" w:type="dxa"/>
              <w:right w:w="90" w:type="dxa"/>
            </w:tcMar>
            <w:vAlign w:val="center"/>
          </w:tcPr>
          <w:p w14:paraId="2B0A7059">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0D39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37B09D6E">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4</w:t>
            </w:r>
          </w:p>
        </w:tc>
        <w:tc>
          <w:tcPr>
            <w:tcW w:w="2040" w:type="dxa"/>
            <w:tcBorders>
              <w:tl2br w:val="nil"/>
              <w:tr2bl w:val="nil"/>
            </w:tcBorders>
            <w:shd w:val="clear" w:color="auto" w:fill="auto"/>
            <w:tcMar>
              <w:top w:w="0" w:type="dxa"/>
              <w:left w:w="90" w:type="dxa"/>
              <w:bottom w:w="0" w:type="dxa"/>
              <w:right w:w="90" w:type="dxa"/>
            </w:tcMar>
            <w:vAlign w:val="center"/>
          </w:tcPr>
          <w:p w14:paraId="43C42B7E">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胸围</w:t>
            </w:r>
          </w:p>
        </w:tc>
        <w:tc>
          <w:tcPr>
            <w:tcW w:w="1125" w:type="dxa"/>
            <w:tcBorders>
              <w:tl2br w:val="nil"/>
              <w:tr2bl w:val="nil"/>
            </w:tcBorders>
            <w:shd w:val="clear" w:color="auto" w:fill="auto"/>
            <w:tcMar>
              <w:top w:w="0" w:type="dxa"/>
              <w:left w:w="90" w:type="dxa"/>
              <w:bottom w:w="0" w:type="dxa"/>
              <w:right w:w="90" w:type="dxa"/>
            </w:tcMar>
            <w:vAlign w:val="center"/>
          </w:tcPr>
          <w:p w14:paraId="5888CD72">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120</w:t>
            </w:r>
          </w:p>
        </w:tc>
        <w:tc>
          <w:tcPr>
            <w:tcW w:w="1080" w:type="dxa"/>
            <w:tcBorders>
              <w:tl2br w:val="nil"/>
              <w:tr2bl w:val="nil"/>
            </w:tcBorders>
            <w:shd w:val="clear" w:color="auto" w:fill="auto"/>
            <w:tcMar>
              <w:top w:w="0" w:type="dxa"/>
              <w:left w:w="90" w:type="dxa"/>
              <w:bottom w:w="0" w:type="dxa"/>
              <w:right w:w="90" w:type="dxa"/>
            </w:tcMar>
            <w:vAlign w:val="center"/>
          </w:tcPr>
          <w:p w14:paraId="5AC310D5">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126</w:t>
            </w:r>
          </w:p>
        </w:tc>
        <w:tc>
          <w:tcPr>
            <w:tcW w:w="1170" w:type="dxa"/>
            <w:tcBorders>
              <w:tl2br w:val="nil"/>
              <w:tr2bl w:val="nil"/>
            </w:tcBorders>
            <w:shd w:val="clear" w:color="auto" w:fill="auto"/>
            <w:tcMar>
              <w:top w:w="0" w:type="dxa"/>
              <w:left w:w="90" w:type="dxa"/>
              <w:bottom w:w="0" w:type="dxa"/>
              <w:right w:w="90" w:type="dxa"/>
            </w:tcMar>
            <w:vAlign w:val="center"/>
          </w:tcPr>
          <w:p w14:paraId="2961B7BA">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132</w:t>
            </w:r>
          </w:p>
        </w:tc>
        <w:tc>
          <w:tcPr>
            <w:tcW w:w="1695" w:type="dxa"/>
            <w:tcBorders>
              <w:tl2br w:val="nil"/>
              <w:tr2bl w:val="nil"/>
            </w:tcBorders>
            <w:shd w:val="clear" w:color="auto" w:fill="auto"/>
            <w:tcMar>
              <w:top w:w="0" w:type="dxa"/>
              <w:left w:w="90" w:type="dxa"/>
              <w:bottom w:w="0" w:type="dxa"/>
              <w:right w:w="90" w:type="dxa"/>
            </w:tcMar>
            <w:vAlign w:val="center"/>
          </w:tcPr>
          <w:p w14:paraId="7B6CAA0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50E9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2E032105">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w:t>
            </w:r>
          </w:p>
        </w:tc>
        <w:tc>
          <w:tcPr>
            <w:tcW w:w="2040" w:type="dxa"/>
            <w:tcBorders>
              <w:tl2br w:val="nil"/>
              <w:tr2bl w:val="nil"/>
            </w:tcBorders>
            <w:shd w:val="clear" w:color="auto" w:fill="auto"/>
            <w:tcMar>
              <w:top w:w="0" w:type="dxa"/>
              <w:left w:w="90" w:type="dxa"/>
              <w:bottom w:w="0" w:type="dxa"/>
              <w:right w:w="90" w:type="dxa"/>
            </w:tcMar>
            <w:vAlign w:val="center"/>
          </w:tcPr>
          <w:p w14:paraId="28466152">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肩宽</w:t>
            </w:r>
          </w:p>
        </w:tc>
        <w:tc>
          <w:tcPr>
            <w:tcW w:w="1125" w:type="dxa"/>
            <w:tcBorders>
              <w:tl2br w:val="nil"/>
              <w:tr2bl w:val="nil"/>
            </w:tcBorders>
            <w:shd w:val="clear" w:color="auto" w:fill="auto"/>
            <w:tcMar>
              <w:top w:w="0" w:type="dxa"/>
              <w:left w:w="90" w:type="dxa"/>
              <w:bottom w:w="0" w:type="dxa"/>
              <w:right w:w="90" w:type="dxa"/>
            </w:tcMar>
            <w:vAlign w:val="center"/>
          </w:tcPr>
          <w:p w14:paraId="33DF0BF5">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50</w:t>
            </w:r>
          </w:p>
        </w:tc>
        <w:tc>
          <w:tcPr>
            <w:tcW w:w="1080" w:type="dxa"/>
            <w:tcBorders>
              <w:tl2br w:val="nil"/>
              <w:tr2bl w:val="nil"/>
            </w:tcBorders>
            <w:shd w:val="clear" w:color="auto" w:fill="auto"/>
            <w:tcMar>
              <w:top w:w="0" w:type="dxa"/>
              <w:left w:w="90" w:type="dxa"/>
              <w:bottom w:w="0" w:type="dxa"/>
              <w:right w:w="90" w:type="dxa"/>
            </w:tcMar>
            <w:vAlign w:val="center"/>
          </w:tcPr>
          <w:p w14:paraId="43EE2111">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52</w:t>
            </w:r>
          </w:p>
        </w:tc>
        <w:tc>
          <w:tcPr>
            <w:tcW w:w="1170" w:type="dxa"/>
            <w:tcBorders>
              <w:tl2br w:val="nil"/>
              <w:tr2bl w:val="nil"/>
            </w:tcBorders>
            <w:shd w:val="clear" w:color="auto" w:fill="auto"/>
            <w:tcMar>
              <w:top w:w="0" w:type="dxa"/>
              <w:left w:w="90" w:type="dxa"/>
              <w:bottom w:w="0" w:type="dxa"/>
              <w:right w:w="90" w:type="dxa"/>
            </w:tcMar>
            <w:vAlign w:val="center"/>
          </w:tcPr>
          <w:p w14:paraId="2A528382">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54</w:t>
            </w:r>
          </w:p>
        </w:tc>
        <w:tc>
          <w:tcPr>
            <w:tcW w:w="1695" w:type="dxa"/>
            <w:tcBorders>
              <w:tl2br w:val="nil"/>
              <w:tr2bl w:val="nil"/>
            </w:tcBorders>
            <w:shd w:val="clear" w:color="auto" w:fill="auto"/>
            <w:tcMar>
              <w:top w:w="0" w:type="dxa"/>
              <w:left w:w="90" w:type="dxa"/>
              <w:bottom w:w="0" w:type="dxa"/>
              <w:right w:w="90" w:type="dxa"/>
            </w:tcMar>
            <w:vAlign w:val="center"/>
          </w:tcPr>
          <w:p w14:paraId="573A6DEC">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r w14:paraId="3EA50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575" w:type="dxa"/>
            <w:tcBorders>
              <w:tl2br w:val="nil"/>
              <w:tr2bl w:val="nil"/>
            </w:tcBorders>
            <w:shd w:val="clear" w:color="auto" w:fill="auto"/>
            <w:tcMar>
              <w:top w:w="0" w:type="dxa"/>
              <w:left w:w="90" w:type="dxa"/>
              <w:bottom w:w="0" w:type="dxa"/>
              <w:right w:w="90" w:type="dxa"/>
            </w:tcMar>
            <w:vAlign w:val="center"/>
          </w:tcPr>
          <w:p w14:paraId="50D5B0BA">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w:t>
            </w:r>
          </w:p>
        </w:tc>
        <w:tc>
          <w:tcPr>
            <w:tcW w:w="2040" w:type="dxa"/>
            <w:tcBorders>
              <w:tl2br w:val="nil"/>
              <w:tr2bl w:val="nil"/>
            </w:tcBorders>
            <w:shd w:val="clear" w:color="auto" w:fill="auto"/>
            <w:tcMar>
              <w:top w:w="0" w:type="dxa"/>
              <w:left w:w="90" w:type="dxa"/>
              <w:bottom w:w="0" w:type="dxa"/>
              <w:right w:w="90" w:type="dxa"/>
            </w:tcMar>
            <w:vAlign w:val="center"/>
          </w:tcPr>
          <w:p w14:paraId="089D07C3">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领围</w:t>
            </w:r>
          </w:p>
        </w:tc>
        <w:tc>
          <w:tcPr>
            <w:tcW w:w="1125" w:type="dxa"/>
            <w:tcBorders>
              <w:tl2br w:val="nil"/>
              <w:tr2bl w:val="nil"/>
            </w:tcBorders>
            <w:shd w:val="clear" w:color="auto" w:fill="auto"/>
            <w:tcMar>
              <w:top w:w="0" w:type="dxa"/>
              <w:left w:w="90" w:type="dxa"/>
              <w:bottom w:w="0" w:type="dxa"/>
              <w:right w:w="90" w:type="dxa"/>
            </w:tcMar>
            <w:vAlign w:val="center"/>
          </w:tcPr>
          <w:p w14:paraId="5D1AA4E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56</w:t>
            </w:r>
          </w:p>
        </w:tc>
        <w:tc>
          <w:tcPr>
            <w:tcW w:w="1080" w:type="dxa"/>
            <w:tcBorders>
              <w:tl2br w:val="nil"/>
              <w:tr2bl w:val="nil"/>
            </w:tcBorders>
            <w:shd w:val="clear" w:color="auto" w:fill="auto"/>
            <w:tcMar>
              <w:top w:w="0" w:type="dxa"/>
              <w:left w:w="90" w:type="dxa"/>
              <w:bottom w:w="0" w:type="dxa"/>
              <w:right w:w="90" w:type="dxa"/>
            </w:tcMar>
            <w:vAlign w:val="center"/>
          </w:tcPr>
          <w:p w14:paraId="13C96900">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58</w:t>
            </w:r>
          </w:p>
        </w:tc>
        <w:tc>
          <w:tcPr>
            <w:tcW w:w="1170" w:type="dxa"/>
            <w:tcBorders>
              <w:tl2br w:val="nil"/>
              <w:tr2bl w:val="nil"/>
            </w:tcBorders>
            <w:shd w:val="clear" w:color="auto" w:fill="auto"/>
            <w:tcMar>
              <w:top w:w="0" w:type="dxa"/>
              <w:left w:w="90" w:type="dxa"/>
              <w:bottom w:w="0" w:type="dxa"/>
              <w:right w:w="90" w:type="dxa"/>
            </w:tcMar>
            <w:vAlign w:val="center"/>
          </w:tcPr>
          <w:p w14:paraId="2F733644">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60</w:t>
            </w:r>
          </w:p>
        </w:tc>
        <w:tc>
          <w:tcPr>
            <w:tcW w:w="1695" w:type="dxa"/>
            <w:tcBorders>
              <w:tl2br w:val="nil"/>
              <w:tr2bl w:val="nil"/>
            </w:tcBorders>
            <w:shd w:val="clear" w:color="auto" w:fill="auto"/>
            <w:tcMar>
              <w:top w:w="0" w:type="dxa"/>
              <w:left w:w="90" w:type="dxa"/>
              <w:bottom w:w="0" w:type="dxa"/>
              <w:right w:w="90" w:type="dxa"/>
            </w:tcMar>
            <w:vAlign w:val="center"/>
          </w:tcPr>
          <w:p w14:paraId="30E3F39F">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±2.0</w:t>
            </w:r>
          </w:p>
        </w:tc>
      </w:tr>
    </w:tbl>
    <w:p w14:paraId="36410340">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1.2面料：涤棉混纺染色卡其布；成份含量65%±5%聚酯纤维，35%±5%棉；密度（根/10cm）：14×2/28，经向510×纬向260，强力经向≥500N 纬向≥400N。</w:t>
      </w:r>
    </w:p>
    <w:p w14:paraId="283AFB8F">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1.3里料:成份含量100%聚酯纤维；强力经向≥400N 纬向≥300N。</w:t>
      </w:r>
    </w:p>
    <w:p w14:paraId="17F99994">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1.4填充絮片：成份含量棉50%±5%聚酯纤维50%±5%；身保暖层250g/m2，袖保暖层150g/m2。</w:t>
      </w:r>
    </w:p>
    <w:p w14:paraId="44ECCFDE">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1.5领面割圈绒：毛高8mm（偏差-1.0mm），克重600 g/m2（偏差-12.0 g/m2），顶破强力≥250N 。</w:t>
      </w:r>
    </w:p>
    <w:p w14:paraId="145031FB">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1.6聚酯树脂四眼扣：前门襟扣、后腰带扣Φ26㎜、后开衩扣Φ15㎜。</w:t>
      </w:r>
    </w:p>
    <w:p w14:paraId="7634CB5C">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1.7颜色：大衣面料、里料和领绒颜色为藏青色(PANTONE 18－4141 TPX)；缝纫、锁钉线、聚酯四眼扣等辅料颜色应与面料颜色相匹配。</w:t>
      </w:r>
    </w:p>
    <w:p w14:paraId="2F0CB1A5">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1.8色泽偏差范围:成品表面颜色不低于4级，评定级别按GB/T 250—2008规定,成品非表面颜色不低于3～4级，评定级别按GB/T 250—2008规定。</w:t>
      </w:r>
    </w:p>
    <w:p w14:paraId="31B8E72F">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1.9敷衬:领里、袋盖面、袋口各敷衬一层,衬的收缩率应与面料相适宜。</w:t>
      </w:r>
    </w:p>
    <w:p w14:paraId="470DA527">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1.10缝制:缝纫针距、明线针距≥12针/3cm；暗线针距≥11针/3cm。</w:t>
      </w:r>
    </w:p>
    <w:p w14:paraId="2626B3A9">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要求缝纫线路顺直，定位准确，距边宽窄一致，结合牢固，松紧适宜。</w:t>
      </w:r>
    </w:p>
    <w:p w14:paraId="4C393018">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1.11锁钉：锁2.8cm直眼不少于58针，锁1.7cm直眼不少于36针，扣眼美观、规整、牢固、不偏歪，钉扣每孔不少于6根线，反面留线头长0.5cm～1.0cm。</w:t>
      </w:r>
    </w:p>
    <w:p w14:paraId="257BB968">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2、提供所投产品2019年经省 级及以上检测机构出具的检测报告复印件（加盖公章），原件备查。检测依据为该类产品国家标准中GB/T 2662—2017 (合格品)、GB 18401-2010(B类) 、GB18383-2007及招标文件有关要求。检测项目必须有：面料（纤维含量、耐干摩擦色牢度、可分解致癌芳香胺染料、PH值、甲醛含量）、里料（纤维含量）、填充物（纤维含量、原料要求）。未提供检测报告或检测报告内的检测项目未达到招标文件要求的，视为投标无效。</w:t>
      </w:r>
    </w:p>
    <w:p w14:paraId="59A5F72B">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3、包装：每件棉大衣反面向外折叠，套好手提塑料袋独立包装，每10件一纸箱，配号包装，每箱内大、小号各2件，中号6件。</w:t>
      </w:r>
    </w:p>
    <w:p w14:paraId="189BC2DD">
      <w:pPr>
        <w:pStyle w:val="5"/>
        <w:keepNext w:val="0"/>
        <w:keepLines w:val="0"/>
        <w:widowControl/>
        <w:suppressLineNumbers w:val="0"/>
        <w:spacing w:before="75" w:beforeAutospacing="0" w:after="150" w:afterAutospacing="0"/>
        <w:ind w:left="0" w:right="0"/>
        <w:jc w:val="left"/>
      </w:pPr>
      <w:r>
        <w:rPr>
          <w:rFonts w:hint="eastAsia" w:ascii="宋体" w:hAnsi="宋体" w:eastAsia="宋体" w:cs="宋体"/>
          <w:sz w:val="28"/>
          <w:szCs w:val="28"/>
        </w:rPr>
        <w:t>     4、样品要求：棉大衣、包装【塑料袋、纸箱截片（长、宽≥10cm）、打包带（长度≥10cm）】，未提供样品视为投标无效。</w:t>
      </w:r>
    </w:p>
    <w:p w14:paraId="47BC5A14">
      <w:pPr>
        <w:pStyle w:val="5"/>
        <w:keepNext w:val="0"/>
        <w:keepLines w:val="0"/>
        <w:widowControl/>
        <w:suppressLineNumbers w:val="0"/>
        <w:spacing w:before="0" w:beforeAutospacing="0" w:after="0" w:afterAutospacing="0" w:line="405" w:lineRule="atLeast"/>
        <w:ind w:left="105" w:right="0" w:firstLine="555"/>
      </w:pPr>
      <w:r>
        <w:rPr>
          <w:rFonts w:hint="eastAsia" w:ascii="宋体" w:hAnsi="宋体" w:eastAsia="宋体" w:cs="宋体"/>
          <w:sz w:val="28"/>
          <w:szCs w:val="28"/>
        </w:rPr>
        <w:t>5、包装印刷及其他要求：</w:t>
      </w:r>
    </w:p>
    <w:p w14:paraId="3A4EDDA9">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6592CE00">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391410"/>
            <wp:effectExtent l="0" t="0" r="0" b="8890"/>
            <wp:docPr id="5" name="图片 1" descr="1562143992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562143992783.png"/>
                    <pic:cNvPicPr>
                      <a:picLocks noChangeAspect="1"/>
                    </pic:cNvPicPr>
                  </pic:nvPicPr>
                  <pic:blipFill>
                    <a:blip r:embed="rId5"/>
                    <a:stretch>
                      <a:fillRect/>
                    </a:stretch>
                  </pic:blipFill>
                  <pic:spPr>
                    <a:xfrm>
                      <a:off x="0" y="0"/>
                      <a:ext cx="4038600" cy="2391410"/>
                    </a:xfrm>
                    <a:prstGeom prst="rect">
                      <a:avLst/>
                    </a:prstGeom>
                    <a:noFill/>
                    <a:ln w="9525">
                      <a:noFill/>
                    </a:ln>
                  </pic:spPr>
                </pic:pic>
              </a:graphicData>
            </a:graphic>
          </wp:inline>
        </w:drawing>
      </w:r>
    </w:p>
    <w:p w14:paraId="6A8DE75C">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（2）纸箱两侧面距封口</w:t>
      </w:r>
      <w:r>
        <w:rPr>
          <w:rFonts w:ascii="仿宋_GB2312" w:hAnsi="宋体" w:eastAsia="仿宋_GB2312" w:cs="仿宋_GB2312"/>
          <w:sz w:val="28"/>
          <w:szCs w:val="28"/>
        </w:rPr>
        <w:t>8cm</w:t>
      </w:r>
      <w:r>
        <w:rPr>
          <w:rFonts w:hint="eastAsia" w:ascii="宋体" w:hAnsi="宋体" w:eastAsia="宋体" w:cs="宋体"/>
          <w:sz w:val="28"/>
          <w:szCs w:val="28"/>
        </w:rPr>
        <w:t>处需各贴</w:t>
      </w:r>
      <w:r>
        <w:rPr>
          <w:rFonts w:hint="default" w:ascii="仿宋_GB2312" w:hAnsi="宋体" w:eastAsia="仿宋_GB2312" w:cs="仿宋_GB2312"/>
          <w:sz w:val="28"/>
          <w:szCs w:val="28"/>
        </w:rPr>
        <w:t>1</w:t>
      </w:r>
      <w:r>
        <w:rPr>
          <w:rFonts w:hint="eastAsia" w:ascii="宋体" w:hAnsi="宋体" w:eastAsia="宋体" w:cs="宋体"/>
          <w:sz w:val="28"/>
          <w:szCs w:val="28"/>
        </w:rPr>
        <w:t>个超高频电子标签（每纸箱贴</w:t>
      </w:r>
      <w:r>
        <w:rPr>
          <w:rFonts w:hint="default" w:ascii="仿宋_GB2312" w:hAnsi="宋体" w:eastAsia="仿宋_GB2312" w:cs="仿宋_GB2312"/>
          <w:sz w:val="28"/>
          <w:szCs w:val="28"/>
        </w:rPr>
        <w:t>2</w:t>
      </w:r>
      <w:r>
        <w:rPr>
          <w:rFonts w:hint="eastAsia" w:ascii="宋体" w:hAnsi="宋体" w:eastAsia="宋体" w:cs="宋体"/>
          <w:sz w:val="28"/>
          <w:szCs w:val="28"/>
        </w:rPr>
        <w:t>个）。电子标签为纸质超高频电子标签，长度为</w:t>
      </w:r>
      <w:r>
        <w:rPr>
          <w:rFonts w:hint="default" w:ascii="仿宋_GB2312" w:hAnsi="宋体" w:eastAsia="仿宋_GB2312" w:cs="仿宋_GB2312"/>
          <w:sz w:val="28"/>
          <w:szCs w:val="28"/>
        </w:rPr>
        <w:t>100mm</w:t>
      </w:r>
      <w:r>
        <w:rPr>
          <w:rFonts w:hint="eastAsia" w:ascii="宋体" w:hAnsi="宋体" w:eastAsia="宋体" w:cs="宋体"/>
          <w:sz w:val="28"/>
          <w:szCs w:val="28"/>
        </w:rPr>
        <w:t>，宽度为</w:t>
      </w:r>
      <w:r>
        <w:rPr>
          <w:rFonts w:hint="default" w:ascii="仿宋_GB2312" w:hAnsi="宋体" w:eastAsia="仿宋_GB2312" w:cs="仿宋_GB2312"/>
          <w:sz w:val="28"/>
          <w:szCs w:val="28"/>
        </w:rPr>
        <w:t>50mm</w:t>
      </w:r>
      <w:r>
        <w:rPr>
          <w:rFonts w:hint="eastAsia" w:ascii="宋体" w:hAnsi="宋体" w:eastAsia="宋体" w:cs="宋体"/>
          <w:sz w:val="28"/>
          <w:szCs w:val="28"/>
        </w:rPr>
        <w:t>。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2AC78C71">
      <w:pPr>
        <w:pStyle w:val="5"/>
        <w:keepNext w:val="0"/>
        <w:keepLines w:val="0"/>
        <w:widowControl/>
        <w:suppressLineNumbers w:val="0"/>
        <w:spacing w:before="0" w:beforeAutospacing="0" w:after="150" w:afterAutospacing="0"/>
        <w:ind w:left="0" w:right="0"/>
        <w:jc w:val="center"/>
      </w:pPr>
      <w:r>
        <w:drawing>
          <wp:inline distT="0" distB="0" distL="114300" distR="114300">
            <wp:extent cx="4210050" cy="2324100"/>
            <wp:effectExtent l="0" t="0" r="0" b="0"/>
            <wp:docPr id="4" name="图片 2" descr="1562144017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562144017101.png"/>
                    <pic:cNvPicPr>
                      <a:picLocks noChangeAspect="1"/>
                    </pic:cNvPicPr>
                  </pic:nvPicPr>
                  <pic:blipFill>
                    <a:blip r:embed="rId6"/>
                    <a:stretch>
                      <a:fillRect/>
                    </a:stretch>
                  </pic:blipFill>
                  <pic:spPr>
                    <a:xfrm>
                      <a:off x="0" y="0"/>
                      <a:ext cx="4210050" cy="2324100"/>
                    </a:xfrm>
                    <a:prstGeom prst="rect">
                      <a:avLst/>
                    </a:prstGeom>
                    <a:noFill/>
                    <a:ln w="9525">
                      <a:noFill/>
                    </a:ln>
                  </pic:spPr>
                </pic:pic>
              </a:graphicData>
            </a:graphic>
          </wp:inline>
        </w:drawing>
      </w:r>
    </w:p>
    <w:p w14:paraId="6B7F522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60" w:firstLineChars="200"/>
        <w:textAlignment w:val="auto"/>
      </w:pPr>
      <w:r>
        <w:rPr>
          <w:rFonts w:hint="eastAsia" w:ascii="宋体" w:hAnsi="宋体" w:eastAsia="宋体" w:cs="宋体"/>
          <w:sz w:val="28"/>
          <w:szCs w:val="28"/>
        </w:rPr>
        <w:t>（3）纸箱为双瓦楞纸，箱外需打井字型打包带，便于搬运。</w:t>
      </w:r>
    </w:p>
    <w:p w14:paraId="5445912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60" w:firstLineChars="200"/>
        <w:textAlignment w:val="auto"/>
      </w:pPr>
      <w:r>
        <w:rPr>
          <w:rFonts w:hint="eastAsia" w:ascii="宋体" w:hAnsi="宋体" w:eastAsia="宋体" w:cs="宋体"/>
          <w:sz w:val="28"/>
          <w:szCs w:val="28"/>
        </w:rPr>
        <w:t>（4）每个纸箱内需附产品检验单一张，检验单样式见《图</w:t>
      </w:r>
      <w:r>
        <w:rPr>
          <w:rFonts w:hint="default" w:ascii="仿宋_GB2312" w:hAnsi="宋体" w:eastAsia="仿宋_GB2312" w:cs="仿宋_GB2312"/>
          <w:sz w:val="28"/>
          <w:szCs w:val="28"/>
        </w:rPr>
        <w:t>3 </w:t>
      </w:r>
      <w:r>
        <w:rPr>
          <w:rFonts w:hint="eastAsia" w:ascii="宋体" w:hAnsi="宋体" w:eastAsia="宋体" w:cs="宋体"/>
          <w:sz w:val="28"/>
          <w:szCs w:val="28"/>
        </w:rPr>
        <w:t>检验单》。其中“检验单”、“产品名 称”、“品等”、“生产日期”、“检验人员”和“承制单位名 称”标题为黑体字，其他为宋体字。检验单尺寸为</w:t>
      </w:r>
      <w:r>
        <w:rPr>
          <w:rFonts w:hint="default" w:ascii="仿宋_GB2312" w:hAnsi="宋体" w:eastAsia="仿宋_GB2312" w:cs="仿宋_GB2312"/>
          <w:sz w:val="28"/>
          <w:szCs w:val="28"/>
        </w:rPr>
        <w:t>B5</w:t>
      </w:r>
      <w:r>
        <w:rPr>
          <w:rFonts w:hint="eastAsia" w:ascii="宋体" w:hAnsi="宋体" w:eastAsia="宋体" w:cs="宋体"/>
          <w:sz w:val="28"/>
          <w:szCs w:val="28"/>
        </w:rPr>
        <w:t>纸的</w:t>
      </w:r>
      <w:r>
        <w:rPr>
          <w:rFonts w:hint="default" w:ascii="仿宋_GB2312" w:hAnsi="宋体" w:eastAsia="仿宋_GB2312" w:cs="仿宋_GB2312"/>
          <w:sz w:val="28"/>
          <w:szCs w:val="28"/>
        </w:rPr>
        <w:t>1/4</w:t>
      </w:r>
      <w:r>
        <w:rPr>
          <w:rFonts w:hint="eastAsia" w:ascii="宋体" w:hAnsi="宋体" w:eastAsia="宋体" w:cs="宋体"/>
          <w:sz w:val="28"/>
          <w:szCs w:val="28"/>
        </w:rPr>
        <w:t>。字体大小适宜。</w:t>
      </w:r>
    </w:p>
    <w:p w14:paraId="37492E8C">
      <w:pPr>
        <w:pStyle w:val="5"/>
        <w:keepNext w:val="0"/>
        <w:keepLines w:val="0"/>
        <w:widowControl/>
        <w:suppressLineNumbers w:val="0"/>
        <w:spacing w:before="0" w:beforeAutospacing="0" w:after="150" w:afterAutospacing="0"/>
        <w:ind w:left="0" w:right="0"/>
        <w:jc w:val="center"/>
      </w:pPr>
      <w:r>
        <w:drawing>
          <wp:inline distT="0" distB="0" distL="114300" distR="114300">
            <wp:extent cx="3800475" cy="1918335"/>
            <wp:effectExtent l="0" t="0" r="9525" b="5715"/>
            <wp:docPr id="3" name="图片 3" descr="1562144042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62144042719.png"/>
                    <pic:cNvPicPr>
                      <a:picLocks noChangeAspect="1"/>
                    </pic:cNvPicPr>
                  </pic:nvPicPr>
                  <pic:blipFill>
                    <a:blip r:embed="rId7"/>
                    <a:stretch>
                      <a:fillRect/>
                    </a:stretch>
                  </pic:blipFill>
                  <pic:spPr>
                    <a:xfrm>
                      <a:off x="0" y="0"/>
                      <a:ext cx="3800475" cy="1918335"/>
                    </a:xfrm>
                    <a:prstGeom prst="rect">
                      <a:avLst/>
                    </a:prstGeom>
                    <a:noFill/>
                    <a:ln w="9525">
                      <a:noFill/>
                    </a:ln>
                  </pic:spPr>
                </pic:pic>
              </a:graphicData>
            </a:graphic>
          </wp:inline>
        </w:drawing>
      </w:r>
      <w:r>
        <w:br w:type="textWrapping"/>
      </w:r>
    </w:p>
    <w:p w14:paraId="53E18474">
      <w:pPr>
        <w:pStyle w:val="5"/>
        <w:keepNext w:val="0"/>
        <w:keepLines w:val="0"/>
        <w:widowControl/>
        <w:suppressLineNumbers w:val="0"/>
        <w:spacing w:before="0" w:beforeAutospacing="0" w:after="150" w:afterAutospacing="0"/>
        <w:ind w:left="0" w:right="0"/>
      </w:pPr>
      <w:r>
        <w:rPr>
          <w:rFonts w:hint="eastAsia" w:ascii="黑体" w:hAnsi="宋体" w:eastAsia="黑体" w:cs="黑体"/>
          <w:sz w:val="28"/>
          <w:szCs w:val="28"/>
          <w:shd w:val="clear" w:fill="FFFFFF"/>
        </w:rPr>
        <w:t>合同包2:毛毯</w:t>
      </w:r>
      <w:r>
        <w:rPr>
          <w:rFonts w:hint="eastAsia" w:ascii="宋体" w:hAnsi="宋体" w:eastAsia="宋体" w:cs="宋体"/>
          <w:sz w:val="28"/>
          <w:szCs w:val="28"/>
          <w:shd w:val="clear" w:fill="FFFFFF"/>
        </w:rPr>
        <w:t> </w:t>
      </w:r>
    </w:p>
    <w:p w14:paraId="74DC2B2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1、成份含量：羊毛含量≥</w:t>
      </w:r>
      <w:r>
        <w:rPr>
          <w:rFonts w:hint="default" w:ascii="仿宋_GB2312" w:hAnsi="宋体" w:eastAsia="仿宋_GB2312" w:cs="仿宋_GB2312"/>
          <w:sz w:val="28"/>
          <w:szCs w:val="28"/>
        </w:rPr>
        <w:t>30%</w:t>
      </w:r>
      <w:r>
        <w:rPr>
          <w:rFonts w:hint="eastAsia" w:ascii="宋体" w:hAnsi="宋体" w:eastAsia="宋体" w:cs="宋体"/>
          <w:sz w:val="28"/>
          <w:szCs w:val="28"/>
        </w:rPr>
        <w:t>，涤纶≤</w:t>
      </w:r>
      <w:r>
        <w:rPr>
          <w:rFonts w:hint="default" w:ascii="仿宋_GB2312" w:hAnsi="宋体" w:eastAsia="仿宋_GB2312" w:cs="仿宋_GB2312"/>
          <w:sz w:val="28"/>
          <w:szCs w:val="28"/>
        </w:rPr>
        <w:t>70%</w:t>
      </w:r>
      <w:r>
        <w:rPr>
          <w:rFonts w:hint="eastAsia" w:ascii="宋体" w:hAnsi="宋体" w:eastAsia="宋体" w:cs="宋体"/>
          <w:sz w:val="28"/>
          <w:szCs w:val="28"/>
        </w:rPr>
        <w:t>，规格尺寸：</w:t>
      </w:r>
      <w:r>
        <w:rPr>
          <w:rFonts w:hint="default" w:ascii="仿宋_GB2312" w:hAnsi="宋体" w:eastAsia="仿宋_GB2312" w:cs="仿宋_GB2312"/>
          <w:sz w:val="28"/>
          <w:szCs w:val="28"/>
        </w:rPr>
        <w:t>1.5</w:t>
      </w:r>
      <w:r>
        <w:rPr>
          <w:rFonts w:hint="eastAsia" w:ascii="宋体" w:hAnsi="宋体" w:eastAsia="宋体" w:cs="宋体"/>
          <w:sz w:val="28"/>
          <w:szCs w:val="28"/>
        </w:rPr>
        <w:t>米×</w:t>
      </w:r>
      <w:r>
        <w:rPr>
          <w:rFonts w:hint="default" w:ascii="仿宋_GB2312" w:hAnsi="宋体" w:eastAsia="仿宋_GB2312" w:cs="仿宋_GB2312"/>
          <w:sz w:val="28"/>
          <w:szCs w:val="28"/>
        </w:rPr>
        <w:t>2</w:t>
      </w:r>
      <w:r>
        <w:rPr>
          <w:rFonts w:hint="eastAsia" w:ascii="宋体" w:hAnsi="宋体" w:eastAsia="宋体" w:cs="宋体"/>
          <w:sz w:val="28"/>
          <w:szCs w:val="28"/>
        </w:rPr>
        <w:t>米（±</w:t>
      </w:r>
      <w:r>
        <w:rPr>
          <w:rFonts w:hint="default" w:ascii="仿宋_GB2312" w:hAnsi="宋体" w:eastAsia="仿宋_GB2312" w:cs="仿宋_GB2312"/>
          <w:sz w:val="28"/>
          <w:szCs w:val="28"/>
        </w:rPr>
        <w:t>0.02</w:t>
      </w:r>
      <w:r>
        <w:rPr>
          <w:rFonts w:hint="eastAsia" w:ascii="宋体" w:hAnsi="宋体" w:eastAsia="宋体" w:cs="宋体"/>
          <w:sz w:val="28"/>
          <w:szCs w:val="28"/>
        </w:rPr>
        <w:t>米），重量：≥</w:t>
      </w:r>
      <w:r>
        <w:rPr>
          <w:rFonts w:hint="default" w:ascii="仿宋_GB2312" w:hAnsi="宋体" w:eastAsia="仿宋_GB2312" w:cs="仿宋_GB2312"/>
          <w:sz w:val="28"/>
          <w:szCs w:val="28"/>
        </w:rPr>
        <w:t>2kg</w:t>
      </w:r>
      <w:r>
        <w:rPr>
          <w:rFonts w:hint="eastAsia" w:ascii="宋体" w:hAnsi="宋体" w:eastAsia="宋体" w:cs="宋体"/>
          <w:sz w:val="28"/>
          <w:szCs w:val="28"/>
        </w:rPr>
        <w:t>；颜色：草绿色；</w:t>
      </w:r>
    </w:p>
    <w:p w14:paraId="3063189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2、外观质量：要求产品整洁美观，四边平直，四角方正，毛面不允许有轧梭痕、补洞痕。</w:t>
      </w:r>
    </w:p>
    <w:p w14:paraId="09C0189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105" w:right="0" w:firstLine="556"/>
        <w:textAlignment w:val="auto"/>
      </w:pPr>
      <w:r>
        <w:rPr>
          <w:rFonts w:hint="eastAsia" w:ascii="宋体" w:hAnsi="宋体" w:eastAsia="宋体" w:cs="宋体"/>
          <w:sz w:val="28"/>
          <w:szCs w:val="28"/>
        </w:rPr>
        <w:t>3、提供所投产品</w:t>
      </w:r>
      <w:r>
        <w:rPr>
          <w:rFonts w:hint="default" w:ascii="仿宋_GB2312" w:hAnsi="宋体" w:eastAsia="仿宋_GB2312" w:cs="仿宋_GB2312"/>
          <w:sz w:val="28"/>
          <w:szCs w:val="28"/>
        </w:rPr>
        <w:t>2019</w:t>
      </w:r>
      <w:r>
        <w:rPr>
          <w:rFonts w:hint="eastAsia" w:ascii="宋体" w:hAnsi="宋体" w:eastAsia="宋体" w:cs="宋体"/>
          <w:sz w:val="28"/>
          <w:szCs w:val="28"/>
        </w:rPr>
        <w:t>年经省 级及以上检测机构出具的检测报告复印件（加盖公章），原件备查。检测依据为该类产品国家标准中GB 18401-2010(B类</w:t>
      </w:r>
      <w:r>
        <w:rPr>
          <w:rFonts w:hint="default" w:ascii="仿宋_GB2312" w:hAnsi="宋体" w:eastAsia="仿宋_GB2312" w:cs="仿宋_GB2312"/>
          <w:sz w:val="28"/>
          <w:szCs w:val="28"/>
        </w:rPr>
        <w:t>)</w:t>
      </w:r>
      <w:r>
        <w:rPr>
          <w:rFonts w:hint="eastAsia" w:ascii="宋体" w:hAnsi="宋体" w:eastAsia="宋体" w:cs="宋体"/>
          <w:sz w:val="28"/>
          <w:szCs w:val="28"/>
        </w:rPr>
        <w:t>， </w:t>
      </w:r>
      <w:r>
        <w:rPr>
          <w:rFonts w:hint="default" w:ascii="仿宋_GB2312" w:hAnsi="宋体" w:eastAsia="仿宋_GB2312" w:cs="仿宋_GB2312"/>
          <w:sz w:val="28"/>
          <w:szCs w:val="28"/>
        </w:rPr>
        <w:t>FZ/T61001-2006</w:t>
      </w:r>
      <w:r>
        <w:rPr>
          <w:rFonts w:hint="eastAsia" w:ascii="宋体" w:hAnsi="宋体" w:eastAsia="宋体" w:cs="宋体"/>
          <w:sz w:val="28"/>
          <w:szCs w:val="28"/>
        </w:rPr>
        <w:t>（一等品）及招标文件有关要求。检测项目必须有：纤维含量、耐干摩擦色牢度、耐湿摩擦色牢度、耐水色牢度、异味、</w:t>
      </w:r>
      <w:r>
        <w:rPr>
          <w:rFonts w:hint="default" w:ascii="仿宋_GB2312" w:hAnsi="宋体" w:eastAsia="仿宋_GB2312" w:cs="仿宋_GB2312"/>
          <w:sz w:val="28"/>
          <w:szCs w:val="28"/>
        </w:rPr>
        <w:t>PH</w:t>
      </w:r>
      <w:r>
        <w:rPr>
          <w:rFonts w:hint="eastAsia" w:ascii="宋体" w:hAnsi="宋体" w:eastAsia="宋体" w:cs="宋体"/>
          <w:sz w:val="28"/>
          <w:szCs w:val="28"/>
        </w:rPr>
        <w:t>值、甲醛含量、重量、断裂强力、可分解致癌芳香胺染料、外观质量。未提供检测报告或检测报告内的检测项目未达到招标文件要求的，视为投标无效。</w:t>
      </w:r>
    </w:p>
    <w:p w14:paraId="72EC2F4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4、包装：每</w:t>
      </w:r>
      <w:r>
        <w:rPr>
          <w:rFonts w:hint="default" w:ascii="仿宋_GB2312" w:hAnsi="宋体" w:eastAsia="仿宋_GB2312" w:cs="仿宋_GB2312"/>
          <w:sz w:val="28"/>
          <w:szCs w:val="28"/>
        </w:rPr>
        <w:t>10</w:t>
      </w:r>
      <w:r>
        <w:rPr>
          <w:rFonts w:hint="eastAsia" w:ascii="宋体" w:hAnsi="宋体" w:eastAsia="宋体" w:cs="宋体"/>
          <w:sz w:val="28"/>
          <w:szCs w:val="28"/>
        </w:rPr>
        <w:t>床装</w:t>
      </w:r>
      <w:r>
        <w:rPr>
          <w:rFonts w:hint="default" w:ascii="仿宋_GB2312" w:hAnsi="宋体" w:eastAsia="仿宋_GB2312" w:cs="仿宋_GB2312"/>
          <w:sz w:val="28"/>
          <w:szCs w:val="28"/>
        </w:rPr>
        <w:t>1</w:t>
      </w:r>
      <w:r>
        <w:rPr>
          <w:rFonts w:hint="eastAsia" w:ascii="宋体" w:hAnsi="宋体" w:eastAsia="宋体" w:cs="宋体"/>
          <w:sz w:val="28"/>
          <w:szCs w:val="28"/>
        </w:rPr>
        <w:t>箱，每床毛毯装入单独的塑料袋内。</w:t>
      </w:r>
    </w:p>
    <w:p w14:paraId="18B8548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6"/>
        <w:textAlignment w:val="auto"/>
      </w:pPr>
      <w:r>
        <w:rPr>
          <w:rFonts w:hint="eastAsia" w:ascii="宋体" w:hAnsi="宋体" w:eastAsia="宋体" w:cs="宋体"/>
          <w:sz w:val="28"/>
          <w:szCs w:val="28"/>
        </w:rPr>
        <w:t>5、样品要求：毛毯、包装【塑料袋、纸箱截片（长、宽≥</w:t>
      </w:r>
      <w:r>
        <w:rPr>
          <w:rFonts w:hint="default" w:ascii="仿宋_GB2312" w:hAnsi="宋体" w:eastAsia="仿宋_GB2312" w:cs="仿宋_GB2312"/>
          <w:sz w:val="28"/>
          <w:szCs w:val="28"/>
        </w:rPr>
        <w:t>10cm</w:t>
      </w:r>
      <w:r>
        <w:rPr>
          <w:rFonts w:hint="eastAsia" w:ascii="宋体" w:hAnsi="宋体" w:eastAsia="宋体" w:cs="宋体"/>
          <w:sz w:val="28"/>
          <w:szCs w:val="28"/>
        </w:rPr>
        <w:t>）、打包带（长度≥</w:t>
      </w:r>
      <w:r>
        <w:rPr>
          <w:rFonts w:hint="default" w:ascii="仿宋_GB2312" w:hAnsi="宋体" w:eastAsia="仿宋_GB2312" w:cs="仿宋_GB2312"/>
          <w:sz w:val="28"/>
          <w:szCs w:val="28"/>
        </w:rPr>
        <w:t>10cm</w:t>
      </w:r>
      <w:r>
        <w:rPr>
          <w:rFonts w:hint="eastAsia" w:ascii="宋体" w:hAnsi="宋体" w:eastAsia="宋体" w:cs="宋体"/>
          <w:sz w:val="28"/>
          <w:szCs w:val="28"/>
        </w:rPr>
        <w:t>）】。未提供样品视为投标无效。</w:t>
      </w:r>
    </w:p>
    <w:p w14:paraId="2E377D7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6、包装印刷及其他要求：</w:t>
      </w:r>
    </w:p>
    <w:p w14:paraId="5FB8A43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w:t>
      </w:r>
      <w:r>
        <w:rPr>
          <w:rFonts w:hint="default" w:ascii="仿宋_GB2312" w:hAnsi="宋体" w:eastAsia="仿宋_GB2312" w:cs="仿宋_GB2312"/>
          <w:sz w:val="28"/>
          <w:szCs w:val="28"/>
        </w:rPr>
        <w:t>60mm</w:t>
      </w:r>
      <w:r>
        <w:rPr>
          <w:rFonts w:hint="eastAsia" w:ascii="宋体" w:hAnsi="宋体" w:eastAsia="宋体" w:cs="宋体"/>
          <w:sz w:val="28"/>
          <w:szCs w:val="28"/>
        </w:rPr>
        <w:t>，其他字体宽度为</w:t>
      </w:r>
      <w:r>
        <w:rPr>
          <w:rFonts w:hint="default" w:ascii="仿宋_GB2312" w:hAnsi="宋体" w:eastAsia="仿宋_GB2312" w:cs="仿宋_GB2312"/>
          <w:sz w:val="28"/>
          <w:szCs w:val="28"/>
        </w:rPr>
        <w:t>35mm</w:t>
      </w:r>
      <w:r>
        <w:rPr>
          <w:rFonts w:hint="eastAsia" w:ascii="宋体" w:hAnsi="宋体" w:eastAsia="宋体" w:cs="宋体"/>
          <w:sz w:val="28"/>
          <w:szCs w:val="28"/>
        </w:rPr>
        <w:t>，承制单位名 称字体大小可根据单位名 称字数酌情选择，参 考图见《图</w:t>
      </w:r>
      <w:r>
        <w:rPr>
          <w:rFonts w:hint="default" w:ascii="仿宋_GB2312" w:hAnsi="宋体" w:eastAsia="仿宋_GB2312" w:cs="仿宋_GB2312"/>
          <w:sz w:val="28"/>
          <w:szCs w:val="28"/>
        </w:rPr>
        <w:t>1</w:t>
      </w:r>
      <w:r>
        <w:rPr>
          <w:rFonts w:hint="eastAsia" w:ascii="宋体" w:hAnsi="宋体" w:eastAsia="宋体" w:cs="宋体"/>
          <w:sz w:val="28"/>
          <w:szCs w:val="28"/>
        </w:rPr>
        <w:t>：外包装印刷示意图》。</w:t>
      </w:r>
    </w:p>
    <w:p w14:paraId="44D20ABC">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038350"/>
            <wp:effectExtent l="0" t="0" r="0" b="0"/>
            <wp:docPr id="2" name="图片 4" descr="1562144127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1562144127343.png"/>
                    <pic:cNvPicPr>
                      <a:picLocks noChangeAspect="1"/>
                    </pic:cNvPicPr>
                  </pic:nvPicPr>
                  <pic:blipFill>
                    <a:blip r:embed="rId5"/>
                    <a:stretch>
                      <a:fillRect/>
                    </a:stretch>
                  </pic:blipFill>
                  <pic:spPr>
                    <a:xfrm>
                      <a:off x="0" y="0"/>
                      <a:ext cx="4038600" cy="2038350"/>
                    </a:xfrm>
                    <a:prstGeom prst="rect">
                      <a:avLst/>
                    </a:prstGeom>
                    <a:noFill/>
                    <a:ln w="9525">
                      <a:noFill/>
                    </a:ln>
                  </pic:spPr>
                </pic:pic>
              </a:graphicData>
            </a:graphic>
          </wp:inline>
        </w:drawing>
      </w:r>
    </w:p>
    <w:p w14:paraId="173E145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0C5D5383">
      <w:pPr>
        <w:pStyle w:val="5"/>
        <w:keepNext w:val="0"/>
        <w:keepLines w:val="0"/>
        <w:widowControl/>
        <w:suppressLineNumbers w:val="0"/>
        <w:spacing w:before="0" w:beforeAutospacing="0" w:after="150" w:afterAutospacing="0"/>
        <w:ind w:left="0" w:right="0"/>
        <w:jc w:val="center"/>
      </w:pPr>
      <w:r>
        <w:drawing>
          <wp:inline distT="0" distB="0" distL="114300" distR="114300">
            <wp:extent cx="4210050" cy="2324100"/>
            <wp:effectExtent l="0" t="0" r="0" b="0"/>
            <wp:docPr id="1" name="图片 5" descr="1562144271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1562144271105.png"/>
                    <pic:cNvPicPr>
                      <a:picLocks noChangeAspect="1"/>
                    </pic:cNvPicPr>
                  </pic:nvPicPr>
                  <pic:blipFill>
                    <a:blip r:embed="rId6"/>
                    <a:stretch>
                      <a:fillRect/>
                    </a:stretch>
                  </pic:blipFill>
                  <pic:spPr>
                    <a:xfrm>
                      <a:off x="0" y="0"/>
                      <a:ext cx="4210050" cy="2324100"/>
                    </a:xfrm>
                    <a:prstGeom prst="rect">
                      <a:avLst/>
                    </a:prstGeom>
                    <a:noFill/>
                    <a:ln w="9525">
                      <a:noFill/>
                    </a:ln>
                  </pic:spPr>
                </pic:pic>
              </a:graphicData>
            </a:graphic>
          </wp:inline>
        </w:drawing>
      </w:r>
    </w:p>
    <w:p w14:paraId="0BF783D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pPr>
      <w:r>
        <w:rPr>
          <w:rFonts w:hint="eastAsia" w:ascii="宋体" w:hAnsi="宋体" w:eastAsia="宋体" w:cs="宋体"/>
          <w:sz w:val="28"/>
          <w:szCs w:val="28"/>
        </w:rPr>
        <w:t>    （3）纸箱为双瓦楞纸，箱外需打井字型打包带，便于搬运。</w:t>
      </w:r>
    </w:p>
    <w:p w14:paraId="250D5B9F">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（4）每个纸箱内需附产品检验单一张，检验单样式见《图3 检验单》。其中“检验单”、“产品名 称”、“品等”、“生产日期”、“检验人员”和“承制单位名 称”标题为黑体字，其他为宋体字。检验单尺寸为B5纸的1/4。字体大小适宜。</w:t>
      </w:r>
    </w:p>
    <w:p w14:paraId="4AA65AB3">
      <w:pPr>
        <w:pStyle w:val="5"/>
        <w:keepNext w:val="0"/>
        <w:keepLines w:val="0"/>
        <w:widowControl/>
        <w:suppressLineNumbers w:val="0"/>
        <w:spacing w:before="0" w:beforeAutospacing="0" w:after="150" w:afterAutospacing="0"/>
        <w:ind w:left="0" w:right="0"/>
        <w:jc w:val="center"/>
      </w:pPr>
      <w:r>
        <w:drawing>
          <wp:inline distT="0" distB="0" distL="114300" distR="114300">
            <wp:extent cx="4653280" cy="2418715"/>
            <wp:effectExtent l="0" t="0" r="13970" b="635"/>
            <wp:docPr id="6" name="图片 6" descr="1562144295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62144295222.png"/>
                    <pic:cNvPicPr>
                      <a:picLocks noChangeAspect="1"/>
                    </pic:cNvPicPr>
                  </pic:nvPicPr>
                  <pic:blipFill>
                    <a:blip r:embed="rId7"/>
                    <a:stretch>
                      <a:fillRect/>
                    </a:stretch>
                  </pic:blipFill>
                  <pic:spPr>
                    <a:xfrm>
                      <a:off x="0" y="0"/>
                      <a:ext cx="4653280" cy="2418715"/>
                    </a:xfrm>
                    <a:prstGeom prst="rect">
                      <a:avLst/>
                    </a:prstGeom>
                    <a:noFill/>
                    <a:ln w="9525">
                      <a:noFill/>
                    </a:ln>
                  </pic:spPr>
                </pic:pic>
              </a:graphicData>
            </a:graphic>
          </wp:inline>
        </w:drawing>
      </w:r>
      <w:r>
        <w:br w:type="textWrapping"/>
      </w:r>
    </w:p>
    <w:p w14:paraId="23212C14">
      <w:pPr>
        <w:pStyle w:val="5"/>
        <w:keepNext w:val="0"/>
        <w:keepLines w:val="0"/>
        <w:widowControl/>
        <w:suppressLineNumbers w:val="0"/>
        <w:spacing w:before="0" w:beforeAutospacing="0" w:after="150" w:afterAutospacing="0"/>
        <w:ind w:left="0" w:right="0"/>
      </w:pPr>
      <w:r>
        <w:rPr>
          <w:rFonts w:hint="eastAsia" w:ascii="黑体" w:hAnsi="宋体" w:eastAsia="黑体" w:cs="黑体"/>
          <w:sz w:val="28"/>
          <w:szCs w:val="28"/>
        </w:rPr>
        <w:t>合同包</w:t>
      </w:r>
      <w:r>
        <w:rPr>
          <w:rFonts w:hint="eastAsia" w:ascii="黑体" w:hAnsi="宋体" w:eastAsia="黑体" w:cs="黑体"/>
          <w:sz w:val="28"/>
          <w:szCs w:val="28"/>
          <w:shd w:val="clear" w:fill="FFFFFF"/>
        </w:rPr>
        <w:t>3：羽绒服</w:t>
      </w:r>
    </w:p>
    <w:p w14:paraId="78044482">
      <w:pPr>
        <w:pStyle w:val="5"/>
        <w:keepNext w:val="0"/>
        <w:keepLines w:val="0"/>
        <w:widowControl/>
        <w:suppressLineNumbers w:val="0"/>
        <w:spacing w:before="0" w:beforeAutospacing="0" w:after="150" w:afterAutospacing="0"/>
        <w:ind w:left="0" w:right="0" w:firstLine="840" w:firstLineChars="300"/>
      </w:pPr>
      <w:r>
        <w:rPr>
          <w:rFonts w:hint="eastAsia" w:ascii="宋体" w:hAnsi="宋体" w:eastAsia="宋体" w:cs="宋体"/>
          <w:sz w:val="28"/>
          <w:szCs w:val="28"/>
        </w:rPr>
        <w:t>1、基本参数：羽绒服：鸭绒大衣；面料：100%涤纶布（藏青色），(30D\360T)；里料：100%涤纶格子布；胆布：100%涤纶过胶胆布；填充物：灰鸭绒；充绒量: ≥145g；含绒量：≥80%；等级：合格品；款式：羽绒服连体帽子含抽绳，2个侧口袋含拉链（参 考图1）；型号：根据采购方要求在采购合同中约定。</w:t>
      </w:r>
    </w:p>
    <w:p w14:paraId="20209B5B">
      <w:pPr>
        <w:pStyle w:val="5"/>
        <w:keepNext w:val="0"/>
        <w:keepLines w:val="0"/>
        <w:widowControl/>
        <w:suppressLineNumbers w:val="0"/>
        <w:spacing w:before="0" w:beforeAutospacing="0" w:after="150" w:afterAutospacing="0"/>
        <w:ind w:left="0" w:right="0"/>
        <w:jc w:val="center"/>
      </w:pPr>
      <w:r>
        <w:drawing>
          <wp:inline distT="0" distB="0" distL="114300" distR="114300">
            <wp:extent cx="2314575" cy="2743200"/>
            <wp:effectExtent l="0" t="0" r="9525" b="0"/>
            <wp:docPr id="7" name="图片 7" descr="1562144331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562144331866.png"/>
                    <pic:cNvPicPr>
                      <a:picLocks noChangeAspect="1"/>
                    </pic:cNvPicPr>
                  </pic:nvPicPr>
                  <pic:blipFill>
                    <a:blip r:embed="rId8"/>
                    <a:stretch>
                      <a:fillRect/>
                    </a:stretch>
                  </pic:blipFill>
                  <pic:spPr>
                    <a:xfrm>
                      <a:off x="0" y="0"/>
                      <a:ext cx="2314575" cy="2743200"/>
                    </a:xfrm>
                    <a:prstGeom prst="rect">
                      <a:avLst/>
                    </a:prstGeom>
                    <a:noFill/>
                    <a:ln w="9525">
                      <a:noFill/>
                    </a:ln>
                  </pic:spPr>
                </pic:pic>
              </a:graphicData>
            </a:graphic>
          </wp:inline>
        </w:drawing>
      </w:r>
    </w:p>
    <w:p w14:paraId="29CC7DD4">
      <w:pPr>
        <w:pStyle w:val="5"/>
        <w:keepNext w:val="0"/>
        <w:keepLines w:val="0"/>
        <w:widowControl/>
        <w:suppressLineNumbers w:val="0"/>
        <w:spacing w:before="0" w:beforeAutospacing="0" w:after="0" w:afterAutospacing="0"/>
        <w:ind w:left="0" w:right="0" w:firstLine="840" w:firstLineChars="300"/>
        <w:rPr>
          <w:rFonts w:hint="eastAsia" w:ascii="宋体" w:hAnsi="宋体" w:eastAsia="宋体" w:cs="宋体"/>
          <w:sz w:val="28"/>
          <w:szCs w:val="28"/>
        </w:rPr>
      </w:pPr>
      <w:r>
        <w:rPr>
          <w:rFonts w:hint="eastAsia" w:ascii="宋体" w:hAnsi="宋体" w:eastAsia="宋体" w:cs="宋体"/>
          <w:sz w:val="28"/>
          <w:szCs w:val="28"/>
        </w:rPr>
        <w:t>2、提供所投产品2019年经省 级及以上检测机构出具的检测报告复印件（加盖公章），原件备查。检测依据为该类产品国家标准中GB/T14272-2011(合格品)、GB 18401-2010(B类)及招标文件有关要求。检测项目必须有：纤维含量（胆布、里料、面料）、清洁度、PH值、甲醛含量、羽绒种类、充绒量、含绒量、蓬松度、气味。未提供检测报告或检测报告内的检测项目未达到招标文件要求的，视为投标无效。</w:t>
      </w:r>
      <w:r>
        <w:rPr>
          <w:rFonts w:hint="eastAsia" w:ascii="宋体" w:hAnsi="宋体" w:eastAsia="宋体" w:cs="宋体"/>
          <w:sz w:val="28"/>
          <w:szCs w:val="28"/>
        </w:rPr>
        <w:br w:type="textWrapping"/>
      </w:r>
      <w:r>
        <w:rPr>
          <w:rFonts w:hint="eastAsia" w:ascii="宋体" w:hAnsi="宋体" w:eastAsia="宋体" w:cs="宋体"/>
          <w:sz w:val="28"/>
          <w:szCs w:val="28"/>
        </w:rPr>
        <w:t>   </w:t>
      </w:r>
    </w:p>
    <w:p w14:paraId="6F8BCE13">
      <w:pPr>
        <w:pStyle w:val="5"/>
        <w:keepNext w:val="0"/>
        <w:keepLines w:val="0"/>
        <w:widowControl/>
        <w:suppressLineNumbers w:val="0"/>
        <w:spacing w:before="0" w:beforeAutospacing="0" w:after="0" w:afterAutospacing="0"/>
        <w:ind w:left="0" w:right="0" w:firstLine="840" w:firstLineChars="300"/>
      </w:pPr>
      <w:r>
        <w:rPr>
          <w:rFonts w:hint="eastAsia" w:ascii="宋体" w:hAnsi="宋体" w:eastAsia="宋体" w:cs="宋体"/>
          <w:sz w:val="28"/>
          <w:szCs w:val="28"/>
        </w:rPr>
        <w:t xml:space="preserve"> 3、包装：每20件装1箱，每件羽绒服装入单独的塑料袋内。</w:t>
      </w:r>
      <w:r>
        <w:rPr>
          <w:rFonts w:hint="eastAsia" w:ascii="宋体" w:hAnsi="宋体" w:eastAsia="宋体" w:cs="宋体"/>
          <w:sz w:val="28"/>
          <w:szCs w:val="28"/>
        </w:rPr>
        <w:br w:type="textWrapping"/>
      </w:r>
      <w:r>
        <w:rPr>
          <w:rFonts w:hint="eastAsia" w:ascii="宋体" w:hAnsi="宋体" w:eastAsia="宋体" w:cs="宋体"/>
          <w:sz w:val="28"/>
          <w:szCs w:val="28"/>
        </w:rPr>
        <w:t>    4、样品要求：羽绒服、包装【塑料袋、纸箱截片（长、宽≥10cm）、打包带（长度≥10cm）】。未提供样品视为投标无效。</w:t>
      </w:r>
      <w:r>
        <w:rPr>
          <w:rFonts w:hint="eastAsia" w:ascii="宋体" w:hAnsi="宋体" w:eastAsia="宋体" w:cs="宋体"/>
          <w:sz w:val="28"/>
          <w:szCs w:val="28"/>
        </w:rPr>
        <w:br w:type="textWrapping"/>
      </w:r>
      <w:r>
        <w:rPr>
          <w:rFonts w:hint="eastAsia" w:ascii="宋体" w:hAnsi="宋体" w:eastAsia="宋体" w:cs="宋体"/>
          <w:sz w:val="28"/>
          <w:szCs w:val="28"/>
        </w:rPr>
        <w:t>    5、包装印刷及其他要求：</w:t>
      </w:r>
    </w:p>
    <w:p w14:paraId="4A113B5F">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1E177691">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943225"/>
            <wp:effectExtent l="0" t="0" r="0" b="9525"/>
            <wp:docPr id="8" name="图片 8" descr="1562144381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62144381729.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14:paraId="5066A6C8">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3F16E527">
      <w:pPr>
        <w:pStyle w:val="5"/>
        <w:keepNext w:val="0"/>
        <w:keepLines w:val="0"/>
        <w:widowControl/>
        <w:suppressLineNumbers w:val="0"/>
        <w:spacing w:before="0" w:beforeAutospacing="0" w:after="150" w:afterAutospacing="0"/>
        <w:ind w:left="0" w:right="0"/>
        <w:jc w:val="center"/>
      </w:pPr>
      <w:r>
        <w:drawing>
          <wp:inline distT="0" distB="0" distL="114300" distR="114300">
            <wp:extent cx="4210050" cy="2324100"/>
            <wp:effectExtent l="0" t="0" r="0" b="0"/>
            <wp:docPr id="9" name="图片 9" descr="1562144417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62144417495.png"/>
                    <pic:cNvPicPr>
                      <a:picLocks noChangeAspect="1"/>
                    </pic:cNvPicPr>
                  </pic:nvPicPr>
                  <pic:blipFill>
                    <a:blip r:embed="rId6"/>
                    <a:stretch>
                      <a:fillRect/>
                    </a:stretch>
                  </pic:blipFill>
                  <pic:spPr>
                    <a:xfrm>
                      <a:off x="0" y="0"/>
                      <a:ext cx="4210050" cy="2324100"/>
                    </a:xfrm>
                    <a:prstGeom prst="rect">
                      <a:avLst/>
                    </a:prstGeom>
                    <a:noFill/>
                    <a:ln w="9525">
                      <a:noFill/>
                    </a:ln>
                  </pic:spPr>
                </pic:pic>
              </a:graphicData>
            </a:graphic>
          </wp:inline>
        </w:drawing>
      </w:r>
    </w:p>
    <w:p w14:paraId="63AB7B4B">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（3）纸箱为双瓦楞纸，箱外需打井字型打包带，便于搬运。</w:t>
      </w:r>
      <w:r>
        <w:rPr>
          <w:rFonts w:hint="eastAsia" w:ascii="宋体" w:hAnsi="宋体" w:eastAsia="宋体" w:cs="宋体"/>
          <w:sz w:val="28"/>
          <w:szCs w:val="28"/>
        </w:rPr>
        <w:br w:type="textWrapping"/>
      </w:r>
      <w:r>
        <w:rPr>
          <w:rFonts w:hint="eastAsia" w:ascii="宋体" w:hAnsi="宋体" w:eastAsia="宋体" w:cs="宋体"/>
          <w:sz w:val="28"/>
          <w:szCs w:val="28"/>
        </w:rPr>
        <w:t>    （4）每个纸箱内需附产品检验单一张，检验单样式见《图3 检验单》。其中“检验单”、“产品名 称”、“品等”、“生产日期”、“检验人员”和“承制单位名 称”标题为黑体字，其他为宋体字。检验单尺寸为B5纸的1/4。字体大小适宜。</w:t>
      </w:r>
    </w:p>
    <w:p w14:paraId="30C2FEC1">
      <w:pPr>
        <w:pStyle w:val="5"/>
        <w:keepNext w:val="0"/>
        <w:keepLines w:val="0"/>
        <w:widowControl/>
        <w:suppressLineNumbers w:val="0"/>
        <w:spacing w:before="0" w:beforeAutospacing="0" w:after="150" w:afterAutospacing="0"/>
        <w:ind w:left="0" w:right="0"/>
        <w:jc w:val="center"/>
      </w:pPr>
      <w:r>
        <w:drawing>
          <wp:inline distT="0" distB="0" distL="114300" distR="114300">
            <wp:extent cx="3362325" cy="2019300"/>
            <wp:effectExtent l="0" t="0" r="9525" b="0"/>
            <wp:docPr id="10" name="图片 10" descr="1562144447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62144447451.png"/>
                    <pic:cNvPicPr>
                      <a:picLocks noChangeAspect="1"/>
                    </pic:cNvPicPr>
                  </pic:nvPicPr>
                  <pic:blipFill>
                    <a:blip r:embed="rId9"/>
                    <a:stretch>
                      <a:fillRect/>
                    </a:stretch>
                  </pic:blipFill>
                  <pic:spPr>
                    <a:xfrm>
                      <a:off x="0" y="0"/>
                      <a:ext cx="3362325" cy="2019300"/>
                    </a:xfrm>
                    <a:prstGeom prst="rect">
                      <a:avLst/>
                    </a:prstGeom>
                    <a:noFill/>
                    <a:ln w="9525">
                      <a:noFill/>
                    </a:ln>
                  </pic:spPr>
                </pic:pic>
              </a:graphicData>
            </a:graphic>
          </wp:inline>
        </w:drawing>
      </w:r>
      <w:r>
        <w:br w:type="textWrapping"/>
      </w:r>
      <w:r>
        <w:br w:type="textWrapping"/>
      </w:r>
    </w:p>
    <w:p w14:paraId="68C6E6F6">
      <w:pPr>
        <w:pStyle w:val="5"/>
        <w:keepNext w:val="0"/>
        <w:keepLines w:val="0"/>
        <w:widowControl/>
        <w:suppressLineNumbers w:val="0"/>
        <w:spacing w:before="0" w:beforeAutospacing="0" w:after="150" w:afterAutospacing="0"/>
        <w:ind w:left="0" w:right="0"/>
        <w:rPr>
          <w:rFonts w:hint="eastAsia" w:ascii="黑体" w:hAnsi="宋体" w:eastAsia="黑体" w:cs="黑体"/>
          <w:sz w:val="28"/>
          <w:szCs w:val="28"/>
          <w:shd w:val="clear" w:fill="FFFFFF"/>
        </w:rPr>
      </w:pPr>
    </w:p>
    <w:p w14:paraId="6D4730CB">
      <w:pPr>
        <w:pStyle w:val="5"/>
        <w:keepNext w:val="0"/>
        <w:keepLines w:val="0"/>
        <w:widowControl/>
        <w:suppressLineNumbers w:val="0"/>
        <w:spacing w:before="0" w:beforeAutospacing="0" w:after="150" w:afterAutospacing="0"/>
        <w:ind w:left="0" w:right="0"/>
      </w:pPr>
      <w:r>
        <w:rPr>
          <w:rFonts w:hint="eastAsia" w:ascii="黑体" w:hAnsi="宋体" w:eastAsia="黑体" w:cs="黑体"/>
          <w:sz w:val="28"/>
          <w:szCs w:val="28"/>
          <w:shd w:val="clear" w:fill="FFFFFF"/>
        </w:rPr>
        <w:t>合同包4:取暖器</w:t>
      </w:r>
      <w:r>
        <w:rPr>
          <w:rFonts w:hint="eastAsia" w:ascii="宋体" w:hAnsi="宋体" w:eastAsia="宋体" w:cs="宋体"/>
          <w:sz w:val="28"/>
          <w:szCs w:val="28"/>
          <w:shd w:val="clear" w:fill="FFFFFF"/>
        </w:rPr>
        <w:t> </w:t>
      </w:r>
    </w:p>
    <w:p w14:paraId="1948748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基本参数：</w:t>
      </w:r>
      <w:r>
        <w:rPr>
          <w:rFonts w:hint="eastAsia" w:ascii="宋体" w:hAnsi="宋体" w:eastAsia="宋体" w:cs="宋体"/>
          <w:sz w:val="28"/>
          <w:szCs w:val="28"/>
        </w:rPr>
        <w:br w:type="textWrapping"/>
      </w:r>
      <w:r>
        <w:rPr>
          <w:rFonts w:hint="eastAsia" w:ascii="宋体" w:hAnsi="宋体" w:eastAsia="宋体" w:cs="宋体"/>
          <w:sz w:val="28"/>
          <w:szCs w:val="28"/>
        </w:rPr>
        <w:t>    1.1类型：PTC陶瓷暖风机。</w:t>
      </w:r>
      <w:r>
        <w:rPr>
          <w:rFonts w:hint="eastAsia" w:ascii="宋体" w:hAnsi="宋体" w:eastAsia="宋体" w:cs="宋体"/>
          <w:sz w:val="28"/>
          <w:szCs w:val="28"/>
        </w:rPr>
        <w:br w:type="textWrapping"/>
      </w:r>
      <w:r>
        <w:rPr>
          <w:rFonts w:hint="eastAsia" w:ascii="宋体" w:hAnsi="宋体" w:eastAsia="宋体" w:cs="宋体"/>
          <w:sz w:val="28"/>
          <w:szCs w:val="28"/>
        </w:rPr>
        <w:t>    1.2额定电压：220V，额定功率：≥1500W。</w:t>
      </w:r>
      <w:r>
        <w:rPr>
          <w:rFonts w:hint="eastAsia" w:ascii="宋体" w:hAnsi="宋体" w:eastAsia="宋体" w:cs="宋体"/>
          <w:sz w:val="28"/>
          <w:szCs w:val="28"/>
        </w:rPr>
        <w:br w:type="textWrapping"/>
      </w:r>
      <w:r>
        <w:rPr>
          <w:rFonts w:hint="eastAsia" w:ascii="宋体" w:hAnsi="宋体" w:eastAsia="宋体" w:cs="宋体"/>
          <w:sz w:val="28"/>
          <w:szCs w:val="28"/>
        </w:rPr>
        <w:t>    1.3功能要求：冷风功能：支持。倾倒断电：支持。摇头功能：支持。防水功能：支持。档位：2-3档。</w:t>
      </w:r>
      <w:r>
        <w:rPr>
          <w:rFonts w:hint="eastAsia" w:ascii="宋体" w:hAnsi="宋体" w:eastAsia="宋体" w:cs="宋体"/>
          <w:sz w:val="28"/>
          <w:szCs w:val="28"/>
        </w:rPr>
        <w:br w:type="textWrapping"/>
      </w:r>
      <w:r>
        <w:rPr>
          <w:rFonts w:hint="eastAsia" w:ascii="宋体" w:hAnsi="宋体" w:eastAsia="宋体" w:cs="宋体"/>
          <w:sz w:val="28"/>
          <w:szCs w:val="28"/>
        </w:rPr>
        <w:t>    1.4优质阻燃电源线。</w:t>
      </w:r>
      <w:r>
        <w:rPr>
          <w:rFonts w:hint="eastAsia" w:ascii="宋体" w:hAnsi="宋体" w:eastAsia="宋体" w:cs="宋体"/>
          <w:sz w:val="28"/>
          <w:szCs w:val="28"/>
        </w:rPr>
        <w:br w:type="textWrapping"/>
      </w:r>
      <w:r>
        <w:rPr>
          <w:rFonts w:hint="eastAsia" w:ascii="宋体" w:hAnsi="宋体" w:eastAsia="宋体" w:cs="宋体"/>
          <w:sz w:val="28"/>
          <w:szCs w:val="28"/>
        </w:rPr>
        <w:t>    2、提供所投产品2019年经省 级及以上检测机构出具的检测报告复印件（加盖公章），原件备查。检测依据为GB4706.1-2005、GB4706.23-2007及招标文件有关要求。检测项目必须有：输入功率和电流、功能检查。未提供检测报告或检测报告内的检测项目未达到招标文件要求的，视为投标无效。</w:t>
      </w:r>
      <w:r>
        <w:rPr>
          <w:rFonts w:hint="eastAsia" w:ascii="宋体" w:hAnsi="宋体" w:eastAsia="宋体" w:cs="宋体"/>
          <w:sz w:val="28"/>
          <w:szCs w:val="28"/>
        </w:rPr>
        <w:br w:type="textWrapping"/>
      </w:r>
      <w:r>
        <w:rPr>
          <w:rFonts w:hint="eastAsia" w:ascii="宋体" w:hAnsi="宋体" w:eastAsia="宋体" w:cs="宋体"/>
          <w:sz w:val="28"/>
          <w:szCs w:val="28"/>
        </w:rPr>
        <w:t>    3、包装：每10台装1箱，每台取暖器装入单独的塑料袋内。</w:t>
      </w:r>
      <w:r>
        <w:rPr>
          <w:rFonts w:hint="eastAsia" w:ascii="宋体" w:hAnsi="宋体" w:eastAsia="宋体" w:cs="宋体"/>
          <w:sz w:val="28"/>
          <w:szCs w:val="28"/>
        </w:rPr>
        <w:br w:type="textWrapping"/>
      </w:r>
      <w:r>
        <w:rPr>
          <w:rFonts w:hint="eastAsia" w:ascii="宋体" w:hAnsi="宋体" w:eastAsia="宋体" w:cs="宋体"/>
          <w:sz w:val="28"/>
          <w:szCs w:val="28"/>
        </w:rPr>
        <w:t>    4、样品要求：取暖器、包装【塑料袋、纸箱截片（长、宽≥10cm）、打包带（长度≥10cm）】。未提供样品视为投标无效。</w:t>
      </w:r>
      <w:r>
        <w:rPr>
          <w:rFonts w:hint="eastAsia" w:ascii="宋体" w:hAnsi="宋体" w:eastAsia="宋体" w:cs="宋体"/>
          <w:sz w:val="28"/>
          <w:szCs w:val="28"/>
        </w:rPr>
        <w:br w:type="textWrapping"/>
      </w:r>
      <w:r>
        <w:rPr>
          <w:rFonts w:hint="eastAsia" w:ascii="宋体" w:hAnsi="宋体" w:eastAsia="宋体" w:cs="宋体"/>
          <w:sz w:val="28"/>
          <w:szCs w:val="28"/>
        </w:rPr>
        <w:t>    5、包装印刷及其他要求：</w:t>
      </w:r>
    </w:p>
    <w:p w14:paraId="4C229FD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707CB60F">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943225"/>
            <wp:effectExtent l="0" t="0" r="0" b="9525"/>
            <wp:docPr id="11" name="图片 11" descr="1562144494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62144494970.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14:paraId="4380057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4D77FAF8">
      <w:pPr>
        <w:pStyle w:val="5"/>
        <w:keepNext w:val="0"/>
        <w:keepLines w:val="0"/>
        <w:widowControl/>
        <w:suppressLineNumbers w:val="0"/>
        <w:spacing w:before="0" w:beforeAutospacing="0" w:after="150" w:afterAutospacing="0"/>
        <w:ind w:left="0" w:right="0"/>
        <w:jc w:val="center"/>
      </w:pPr>
      <w:r>
        <w:drawing>
          <wp:inline distT="0" distB="0" distL="114300" distR="114300">
            <wp:extent cx="4219575" cy="2333625"/>
            <wp:effectExtent l="0" t="0" r="9525" b="9525"/>
            <wp:docPr id="12" name="图片 12" descr="1562144515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62144515556.png"/>
                    <pic:cNvPicPr>
                      <a:picLocks noChangeAspect="1"/>
                    </pic:cNvPicPr>
                  </pic:nvPicPr>
                  <pic:blipFill>
                    <a:blip r:embed="rId10"/>
                    <a:stretch>
                      <a:fillRect/>
                    </a:stretch>
                  </pic:blipFill>
                  <pic:spPr>
                    <a:xfrm>
                      <a:off x="0" y="0"/>
                      <a:ext cx="4219575" cy="2333625"/>
                    </a:xfrm>
                    <a:prstGeom prst="rect">
                      <a:avLst/>
                    </a:prstGeom>
                    <a:noFill/>
                    <a:ln w="9525">
                      <a:noFill/>
                    </a:ln>
                  </pic:spPr>
                </pic:pic>
              </a:graphicData>
            </a:graphic>
          </wp:inline>
        </w:drawing>
      </w:r>
    </w:p>
    <w:p w14:paraId="762F69B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（3）纸箱为双瓦楞纸，箱外需打井字型打包带，便于搬运。</w:t>
      </w:r>
    </w:p>
    <w:p w14:paraId="7399D34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（4）每个纸箱内需附产品检验单一张，检验单样式见《图3 检验单》。其中“检验单”、“产品名 称”、“品等”、“生产日期”、“检验人员”和“承制单位名 称”标题为黑体字，其他为宋体字。检验单尺寸为B5纸的1/4。字体大小适宜。</w:t>
      </w:r>
    </w:p>
    <w:p w14:paraId="1E219247">
      <w:pPr>
        <w:pStyle w:val="5"/>
        <w:keepNext w:val="0"/>
        <w:keepLines w:val="0"/>
        <w:widowControl/>
        <w:suppressLineNumbers w:val="0"/>
        <w:spacing w:before="0" w:beforeAutospacing="0" w:after="150" w:afterAutospacing="0"/>
        <w:ind w:left="0" w:right="0"/>
        <w:jc w:val="center"/>
      </w:pPr>
      <w:r>
        <w:drawing>
          <wp:inline distT="0" distB="0" distL="114300" distR="114300">
            <wp:extent cx="3371850" cy="2019300"/>
            <wp:effectExtent l="0" t="0" r="0" b="0"/>
            <wp:docPr id="13" name="图片 13" descr="156214457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62144571413.png"/>
                    <pic:cNvPicPr>
                      <a:picLocks noChangeAspect="1"/>
                    </pic:cNvPicPr>
                  </pic:nvPicPr>
                  <pic:blipFill>
                    <a:blip r:embed="rId7"/>
                    <a:stretch>
                      <a:fillRect/>
                    </a:stretch>
                  </pic:blipFill>
                  <pic:spPr>
                    <a:xfrm>
                      <a:off x="0" y="0"/>
                      <a:ext cx="3371850" cy="2019300"/>
                    </a:xfrm>
                    <a:prstGeom prst="rect">
                      <a:avLst/>
                    </a:prstGeom>
                    <a:noFill/>
                    <a:ln w="9525">
                      <a:noFill/>
                    </a:ln>
                  </pic:spPr>
                </pic:pic>
              </a:graphicData>
            </a:graphic>
          </wp:inline>
        </w:drawing>
      </w:r>
    </w:p>
    <w:p w14:paraId="2D872B7F">
      <w:pPr>
        <w:pStyle w:val="5"/>
        <w:keepNext w:val="0"/>
        <w:keepLines w:val="0"/>
        <w:widowControl/>
        <w:suppressLineNumbers w:val="0"/>
        <w:spacing w:before="0" w:beforeAutospacing="0" w:after="0" w:afterAutospacing="0" w:line="555" w:lineRule="atLeast"/>
        <w:ind w:right="0"/>
      </w:pPr>
      <w:r>
        <w:rPr>
          <w:rFonts w:hint="eastAsia" w:ascii="黑体" w:hAnsi="宋体" w:eastAsia="黑体" w:cs="黑体"/>
          <w:sz w:val="28"/>
          <w:szCs w:val="28"/>
          <w:shd w:val="clear" w:fill="FFFFFF"/>
        </w:rPr>
        <w:t>合同包5:折叠床</w:t>
      </w:r>
    </w:p>
    <w:p w14:paraId="22218F32">
      <w:pPr>
        <w:pStyle w:val="5"/>
        <w:keepNext w:val="0"/>
        <w:keepLines w:val="0"/>
        <w:widowControl/>
        <w:suppressLineNumbers w:val="0"/>
        <w:spacing w:before="0" w:beforeAutospacing="0" w:after="0" w:afterAutospacing="0" w:line="555" w:lineRule="atLeast"/>
        <w:ind w:left="105" w:right="0" w:firstLine="555"/>
      </w:pPr>
      <w:r>
        <w:rPr>
          <w:rFonts w:hint="eastAsia" w:ascii="宋体" w:hAnsi="宋体" w:eastAsia="宋体" w:cs="宋体"/>
          <w:sz w:val="28"/>
          <w:szCs w:val="28"/>
        </w:rPr>
        <w:t>1.1样式结构及成品主要尺寸</w:t>
      </w:r>
    </w:p>
    <w:p w14:paraId="5D13A2D5">
      <w:pPr>
        <w:pStyle w:val="5"/>
        <w:keepNext w:val="0"/>
        <w:keepLines w:val="0"/>
        <w:widowControl/>
        <w:suppressLineNumbers w:val="0"/>
        <w:spacing w:before="0" w:beforeAutospacing="0" w:after="0" w:afterAutospacing="0" w:line="555" w:lineRule="atLeast"/>
        <w:ind w:left="105" w:right="0" w:firstLine="555"/>
        <w:rPr>
          <w:highlight w:val="none"/>
        </w:rPr>
      </w:pPr>
      <w:r>
        <w:rPr>
          <w:rFonts w:hint="eastAsia" w:ascii="宋体" w:hAnsi="宋体" w:eastAsia="宋体" w:cs="宋体"/>
          <w:sz w:val="28"/>
          <w:szCs w:val="28"/>
        </w:rPr>
        <w:t>1.1.1救灾专用折叠床为钢管床架折叠式。折叠床由床面和床架两部分组成，床头附带一个可搭扣的枕头，床面的上半部位加垫塑料板一块，塑料板在使用时向床尾方向推，折叠时向床头方向推。床背</w:t>
      </w:r>
      <w:r>
        <w:rPr>
          <w:rFonts w:hint="eastAsia" w:ascii="宋体" w:hAnsi="宋体" w:eastAsia="宋体" w:cs="宋体"/>
          <w:sz w:val="28"/>
          <w:szCs w:val="28"/>
          <w:highlight w:val="none"/>
        </w:rPr>
        <w:t>面配置可调节束紧带两条，其样式结构如图1～图3（单位为毫米）和附录A中图A.1～图A.</w:t>
      </w:r>
      <w:r>
        <w:rPr>
          <w:rFonts w:hint="eastAsia" w:ascii="宋体" w:hAnsi="宋体" w:eastAsia="宋体" w:cs="宋体"/>
          <w:sz w:val="28"/>
          <w:szCs w:val="28"/>
          <w:highlight w:val="none"/>
          <w:lang w:val="en-US" w:eastAsia="zh-CN"/>
        </w:rPr>
        <w:t>2</w:t>
      </w:r>
      <w:r>
        <w:rPr>
          <w:rFonts w:hint="eastAsia" w:ascii="宋体" w:hAnsi="宋体" w:eastAsia="宋体" w:cs="宋体"/>
          <w:sz w:val="28"/>
          <w:szCs w:val="28"/>
          <w:highlight w:val="none"/>
        </w:rPr>
        <w:t>。</w:t>
      </w:r>
    </w:p>
    <w:p w14:paraId="7045D7FC">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1.1.2成品各部位名 称及主要尺寸见图1～图3。</w:t>
      </w:r>
    </w:p>
    <w:p w14:paraId="063A6C5E">
      <w:pPr>
        <w:pStyle w:val="5"/>
        <w:keepNext w:val="0"/>
        <w:keepLines w:val="0"/>
        <w:widowControl/>
        <w:suppressLineNumbers w:val="0"/>
        <w:spacing w:before="0" w:beforeAutospacing="0" w:after="150" w:afterAutospacing="0"/>
        <w:ind w:left="0" w:right="0"/>
        <w:jc w:val="center"/>
      </w:pPr>
      <w:r>
        <w:drawing>
          <wp:inline distT="0" distB="0" distL="114300" distR="114300">
            <wp:extent cx="5309235" cy="2574925"/>
            <wp:effectExtent l="0" t="0" r="5715" b="15875"/>
            <wp:docPr id="14" name="图片 14" descr="1562144607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62144607526.png"/>
                    <pic:cNvPicPr>
                      <a:picLocks noChangeAspect="1"/>
                    </pic:cNvPicPr>
                  </pic:nvPicPr>
                  <pic:blipFill>
                    <a:blip r:embed="rId11"/>
                    <a:stretch>
                      <a:fillRect/>
                    </a:stretch>
                  </pic:blipFill>
                  <pic:spPr>
                    <a:xfrm>
                      <a:off x="0" y="0"/>
                      <a:ext cx="5309235" cy="2574925"/>
                    </a:xfrm>
                    <a:prstGeom prst="rect">
                      <a:avLst/>
                    </a:prstGeom>
                    <a:noFill/>
                    <a:ln w="9525">
                      <a:noFill/>
                    </a:ln>
                  </pic:spPr>
                </pic:pic>
              </a:graphicData>
            </a:graphic>
          </wp:inline>
        </w:drawing>
      </w:r>
    </w:p>
    <w:p w14:paraId="2CA85FD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图1样式、结构及主要尺寸</w:t>
      </w:r>
    </w:p>
    <w:p w14:paraId="38180B02">
      <w:pPr>
        <w:pStyle w:val="5"/>
        <w:keepNext w:val="0"/>
        <w:keepLines w:val="0"/>
        <w:widowControl/>
        <w:suppressLineNumbers w:val="0"/>
        <w:spacing w:before="0" w:beforeAutospacing="0" w:after="150" w:afterAutospacing="0"/>
        <w:ind w:left="0" w:right="0"/>
      </w:pPr>
      <w:r>
        <w:drawing>
          <wp:inline distT="0" distB="0" distL="114300" distR="114300">
            <wp:extent cx="5425440" cy="3005455"/>
            <wp:effectExtent l="0" t="0" r="3810" b="4445"/>
            <wp:docPr id="15" name="图片 15" descr="1562144685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62144685237.png"/>
                    <pic:cNvPicPr>
                      <a:picLocks noChangeAspect="1"/>
                    </pic:cNvPicPr>
                  </pic:nvPicPr>
                  <pic:blipFill>
                    <a:blip r:embed="rId12"/>
                    <a:stretch>
                      <a:fillRect/>
                    </a:stretch>
                  </pic:blipFill>
                  <pic:spPr>
                    <a:xfrm>
                      <a:off x="0" y="0"/>
                      <a:ext cx="5425440" cy="3005455"/>
                    </a:xfrm>
                    <a:prstGeom prst="rect">
                      <a:avLst/>
                    </a:prstGeom>
                    <a:noFill/>
                    <a:ln w="9525">
                      <a:noFill/>
                    </a:ln>
                  </pic:spPr>
                </pic:pic>
              </a:graphicData>
            </a:graphic>
          </wp:inline>
        </w:drawing>
      </w:r>
    </w:p>
    <w:p w14:paraId="6EF12E3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图2样式、结构及主要尺寸</w:t>
      </w:r>
      <w:r>
        <w:rPr>
          <w:rFonts w:hint="eastAsia" w:ascii="宋体" w:hAnsi="宋体" w:eastAsia="宋体" w:cs="宋体"/>
          <w:sz w:val="21"/>
          <w:szCs w:val="21"/>
        </w:rPr>
        <w:br w:type="textWrapping"/>
      </w:r>
      <w:r>
        <w:rPr>
          <w:rFonts w:hint="eastAsia" w:ascii="宋体" w:hAnsi="宋体" w:eastAsia="宋体" w:cs="宋体"/>
          <w:sz w:val="21"/>
          <w:szCs w:val="21"/>
        </w:rPr>
        <w:drawing>
          <wp:inline distT="0" distB="0" distL="114300" distR="114300">
            <wp:extent cx="5455285" cy="2822575"/>
            <wp:effectExtent l="0" t="0" r="12065" b="15875"/>
            <wp:docPr id="16" name="图片 16" descr="1562144726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62144726880.png"/>
                    <pic:cNvPicPr>
                      <a:picLocks noChangeAspect="1"/>
                    </pic:cNvPicPr>
                  </pic:nvPicPr>
                  <pic:blipFill>
                    <a:blip r:embed="rId13"/>
                    <a:stretch>
                      <a:fillRect/>
                    </a:stretch>
                  </pic:blipFill>
                  <pic:spPr>
                    <a:xfrm>
                      <a:off x="0" y="0"/>
                      <a:ext cx="5455285" cy="2822575"/>
                    </a:xfrm>
                    <a:prstGeom prst="rect">
                      <a:avLst/>
                    </a:prstGeom>
                    <a:noFill/>
                    <a:ln w="9525">
                      <a:noFill/>
                    </a:ln>
                  </pic:spPr>
                </pic:pic>
              </a:graphicData>
            </a:graphic>
          </wp:inline>
        </w:drawing>
      </w:r>
    </w:p>
    <w:p w14:paraId="70C13C5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图3样式、结构及主要尺寸</w:t>
      </w:r>
    </w:p>
    <w:p w14:paraId="2E01A5D2">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B092045">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46E10EA2">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1C42F058">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1C67E131">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1.2材料规格</w:t>
      </w:r>
    </w:p>
    <w:p w14:paraId="3220BCF9">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主辅材料规格与质量要求、用途应符合表1的规定。</w:t>
      </w:r>
    </w:p>
    <w:p w14:paraId="74134191">
      <w:pPr>
        <w:pStyle w:val="5"/>
        <w:keepNext w:val="0"/>
        <w:keepLines w:val="0"/>
        <w:widowControl/>
        <w:suppressLineNumbers w:val="0"/>
        <w:spacing w:before="0" w:beforeAutospacing="0" w:after="0" w:afterAutospacing="0"/>
        <w:ind w:left="0" w:right="0"/>
      </w:pPr>
      <w:r>
        <w:rPr>
          <w:rFonts w:hint="eastAsia" w:ascii="宋体" w:hAnsi="宋体" w:eastAsia="宋体" w:cs="宋体"/>
          <w:sz w:val="21"/>
          <w:szCs w:val="21"/>
        </w:rPr>
        <w:t>表1主辅材料规格与质量要求、用途</w:t>
      </w:r>
    </w:p>
    <w:tbl>
      <w:tblPr>
        <w:tblStyle w:val="6"/>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620"/>
        <w:gridCol w:w="2895"/>
        <w:gridCol w:w="3540"/>
        <w:gridCol w:w="1515"/>
      </w:tblGrid>
      <w:tr w14:paraId="654C8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4515" w:type="dxa"/>
            <w:gridSpan w:val="2"/>
            <w:tcBorders>
              <w:tl2br w:val="nil"/>
              <w:tr2bl w:val="nil"/>
            </w:tcBorders>
            <w:shd w:val="clear" w:color="auto" w:fill="auto"/>
            <w:tcMar>
              <w:top w:w="0" w:type="dxa"/>
              <w:left w:w="105" w:type="dxa"/>
              <w:bottom w:w="0" w:type="dxa"/>
              <w:right w:w="105" w:type="dxa"/>
            </w:tcMar>
            <w:vAlign w:val="center"/>
          </w:tcPr>
          <w:p w14:paraId="4593DFA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材料</w:t>
            </w:r>
          </w:p>
        </w:tc>
        <w:tc>
          <w:tcPr>
            <w:tcW w:w="3540" w:type="dxa"/>
            <w:vMerge w:val="restart"/>
            <w:tcBorders>
              <w:tl2br w:val="nil"/>
              <w:tr2bl w:val="nil"/>
            </w:tcBorders>
            <w:shd w:val="clear" w:color="auto" w:fill="auto"/>
            <w:tcMar>
              <w:top w:w="0" w:type="dxa"/>
              <w:left w:w="105" w:type="dxa"/>
              <w:bottom w:w="0" w:type="dxa"/>
              <w:right w:w="105" w:type="dxa"/>
            </w:tcMar>
            <w:vAlign w:val="center"/>
          </w:tcPr>
          <w:p w14:paraId="7F264F4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质量要求</w:t>
            </w:r>
          </w:p>
        </w:tc>
        <w:tc>
          <w:tcPr>
            <w:tcW w:w="1515" w:type="dxa"/>
            <w:vMerge w:val="restart"/>
            <w:tcBorders>
              <w:tl2br w:val="nil"/>
              <w:tr2bl w:val="nil"/>
            </w:tcBorders>
            <w:shd w:val="clear" w:color="auto" w:fill="auto"/>
            <w:tcMar>
              <w:top w:w="0" w:type="dxa"/>
              <w:left w:w="105" w:type="dxa"/>
              <w:bottom w:w="0" w:type="dxa"/>
              <w:right w:w="105" w:type="dxa"/>
            </w:tcMar>
            <w:vAlign w:val="center"/>
          </w:tcPr>
          <w:p w14:paraId="6DDC7FF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用途</w:t>
            </w:r>
          </w:p>
        </w:tc>
      </w:tr>
      <w:tr w14:paraId="0689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7DD626E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名 称</w:t>
            </w:r>
          </w:p>
        </w:tc>
        <w:tc>
          <w:tcPr>
            <w:tcW w:w="2895" w:type="dxa"/>
            <w:tcBorders>
              <w:tl2br w:val="nil"/>
              <w:tr2bl w:val="nil"/>
            </w:tcBorders>
            <w:shd w:val="clear" w:color="auto" w:fill="auto"/>
            <w:tcMar>
              <w:top w:w="0" w:type="dxa"/>
              <w:left w:w="105" w:type="dxa"/>
              <w:bottom w:w="0" w:type="dxa"/>
              <w:right w:w="105" w:type="dxa"/>
            </w:tcMar>
            <w:vAlign w:val="center"/>
          </w:tcPr>
          <w:p w14:paraId="32D56FD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规格</w:t>
            </w:r>
          </w:p>
        </w:tc>
        <w:tc>
          <w:tcPr>
            <w:tcW w:w="3540" w:type="dxa"/>
            <w:vMerge w:val="continue"/>
            <w:tcBorders>
              <w:tl2br w:val="nil"/>
              <w:tr2bl w:val="nil"/>
            </w:tcBorders>
            <w:shd w:val="clear" w:color="auto" w:fill="auto"/>
            <w:tcMar>
              <w:top w:w="0" w:type="dxa"/>
              <w:left w:w="105" w:type="dxa"/>
              <w:bottom w:w="0" w:type="dxa"/>
              <w:right w:w="105" w:type="dxa"/>
            </w:tcMar>
            <w:vAlign w:val="center"/>
          </w:tcPr>
          <w:p w14:paraId="383F698A">
            <w:pPr>
              <w:rPr>
                <w:rFonts w:hint="eastAsia" w:ascii="宋体"/>
                <w:sz w:val="24"/>
                <w:szCs w:val="24"/>
              </w:rPr>
            </w:pPr>
          </w:p>
        </w:tc>
        <w:tc>
          <w:tcPr>
            <w:tcW w:w="1515" w:type="dxa"/>
            <w:vMerge w:val="continue"/>
            <w:tcBorders>
              <w:tl2br w:val="nil"/>
              <w:tr2bl w:val="nil"/>
            </w:tcBorders>
            <w:shd w:val="clear" w:color="auto" w:fill="auto"/>
            <w:tcMar>
              <w:top w:w="0" w:type="dxa"/>
              <w:left w:w="105" w:type="dxa"/>
              <w:bottom w:w="0" w:type="dxa"/>
              <w:right w:w="105" w:type="dxa"/>
            </w:tcMar>
            <w:vAlign w:val="center"/>
          </w:tcPr>
          <w:p w14:paraId="0A1C4320">
            <w:pPr>
              <w:rPr>
                <w:rFonts w:hint="eastAsia" w:ascii="宋体"/>
                <w:sz w:val="24"/>
                <w:szCs w:val="24"/>
              </w:rPr>
            </w:pPr>
          </w:p>
        </w:tc>
      </w:tr>
      <w:tr w14:paraId="002C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087FBDA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PVC涂层布</w:t>
            </w:r>
          </w:p>
        </w:tc>
        <w:tc>
          <w:tcPr>
            <w:tcW w:w="2895" w:type="dxa"/>
            <w:tcBorders>
              <w:tl2br w:val="nil"/>
              <w:tr2bl w:val="nil"/>
            </w:tcBorders>
            <w:shd w:val="clear" w:color="auto" w:fill="auto"/>
            <w:tcMar>
              <w:top w:w="0" w:type="dxa"/>
              <w:left w:w="105" w:type="dxa"/>
              <w:bottom w:w="0" w:type="dxa"/>
              <w:right w:w="105" w:type="dxa"/>
            </w:tcMar>
            <w:vAlign w:val="center"/>
          </w:tcPr>
          <w:p w14:paraId="5B303B4E">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666dtex×666dtex 涤纶丝</w:t>
            </w:r>
          </w:p>
        </w:tc>
        <w:tc>
          <w:tcPr>
            <w:tcW w:w="3540" w:type="dxa"/>
            <w:tcBorders>
              <w:tl2br w:val="nil"/>
              <w:tr2bl w:val="nil"/>
            </w:tcBorders>
            <w:shd w:val="clear" w:color="auto" w:fill="auto"/>
            <w:tcMar>
              <w:top w:w="0" w:type="dxa"/>
              <w:left w:w="105" w:type="dxa"/>
              <w:bottom w:w="0" w:type="dxa"/>
              <w:right w:w="105" w:type="dxa"/>
            </w:tcMar>
            <w:vAlign w:val="center"/>
          </w:tcPr>
          <w:p w14:paraId="086E7D3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附录B</w:t>
            </w:r>
          </w:p>
        </w:tc>
        <w:tc>
          <w:tcPr>
            <w:tcW w:w="1515" w:type="dxa"/>
            <w:tcBorders>
              <w:tl2br w:val="nil"/>
              <w:tr2bl w:val="nil"/>
            </w:tcBorders>
            <w:shd w:val="clear" w:color="auto" w:fill="auto"/>
            <w:tcMar>
              <w:top w:w="0" w:type="dxa"/>
              <w:left w:w="105" w:type="dxa"/>
              <w:bottom w:w="0" w:type="dxa"/>
              <w:right w:w="105" w:type="dxa"/>
            </w:tcMar>
            <w:vAlign w:val="center"/>
          </w:tcPr>
          <w:p w14:paraId="2377E09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床布</w:t>
            </w:r>
          </w:p>
        </w:tc>
      </w:tr>
      <w:tr w14:paraId="39C8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2D453A3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焊接钢管</w:t>
            </w:r>
          </w:p>
        </w:tc>
        <w:tc>
          <w:tcPr>
            <w:tcW w:w="2895" w:type="dxa"/>
            <w:tcBorders>
              <w:tl2br w:val="nil"/>
              <w:tr2bl w:val="nil"/>
            </w:tcBorders>
            <w:shd w:val="clear" w:color="auto" w:fill="auto"/>
            <w:tcMar>
              <w:top w:w="0" w:type="dxa"/>
              <w:left w:w="105" w:type="dxa"/>
              <w:bottom w:w="0" w:type="dxa"/>
              <w:right w:w="105" w:type="dxa"/>
            </w:tcMar>
            <w:vAlign w:val="center"/>
          </w:tcPr>
          <w:p w14:paraId="14726DF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Q195  Φ25mm×1.1mm</w:t>
            </w:r>
          </w:p>
        </w:tc>
        <w:tc>
          <w:tcPr>
            <w:tcW w:w="3540" w:type="dxa"/>
            <w:tcBorders>
              <w:tl2br w:val="nil"/>
              <w:tr2bl w:val="nil"/>
            </w:tcBorders>
            <w:shd w:val="clear" w:color="auto" w:fill="auto"/>
            <w:tcMar>
              <w:top w:w="0" w:type="dxa"/>
              <w:left w:w="105" w:type="dxa"/>
              <w:bottom w:w="0" w:type="dxa"/>
              <w:right w:w="105" w:type="dxa"/>
            </w:tcMar>
            <w:vAlign w:val="center"/>
          </w:tcPr>
          <w:p w14:paraId="55B4529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13793—2008</w:t>
            </w:r>
          </w:p>
        </w:tc>
        <w:tc>
          <w:tcPr>
            <w:tcW w:w="1515" w:type="dxa"/>
            <w:tcBorders>
              <w:tl2br w:val="nil"/>
              <w:tr2bl w:val="nil"/>
            </w:tcBorders>
            <w:shd w:val="clear" w:color="auto" w:fill="auto"/>
            <w:tcMar>
              <w:top w:w="0" w:type="dxa"/>
              <w:left w:w="105" w:type="dxa"/>
              <w:bottom w:w="0" w:type="dxa"/>
              <w:right w:w="105" w:type="dxa"/>
            </w:tcMar>
            <w:vAlign w:val="center"/>
          </w:tcPr>
          <w:p w14:paraId="4B09D1B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床架、床脚</w:t>
            </w:r>
          </w:p>
        </w:tc>
      </w:tr>
      <w:tr w14:paraId="601C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1A4A9AC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钢板</w:t>
            </w:r>
          </w:p>
        </w:tc>
        <w:tc>
          <w:tcPr>
            <w:tcW w:w="2895" w:type="dxa"/>
            <w:tcBorders>
              <w:tl2br w:val="nil"/>
              <w:tr2bl w:val="nil"/>
            </w:tcBorders>
            <w:shd w:val="clear" w:color="auto" w:fill="auto"/>
            <w:tcMar>
              <w:top w:w="0" w:type="dxa"/>
              <w:left w:w="105" w:type="dxa"/>
              <w:bottom w:w="0" w:type="dxa"/>
              <w:right w:w="105" w:type="dxa"/>
            </w:tcMar>
            <w:vAlign w:val="center"/>
          </w:tcPr>
          <w:p w14:paraId="2839A6D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 195～Q 235  t 2.0mm</w:t>
            </w:r>
          </w:p>
        </w:tc>
        <w:tc>
          <w:tcPr>
            <w:tcW w:w="3540" w:type="dxa"/>
            <w:tcBorders>
              <w:tl2br w:val="nil"/>
              <w:tr2bl w:val="nil"/>
            </w:tcBorders>
            <w:shd w:val="clear" w:color="auto" w:fill="auto"/>
            <w:tcMar>
              <w:top w:w="0" w:type="dxa"/>
              <w:left w:w="105" w:type="dxa"/>
              <w:bottom w:w="0" w:type="dxa"/>
              <w:right w:w="105" w:type="dxa"/>
            </w:tcMar>
            <w:vAlign w:val="center"/>
          </w:tcPr>
          <w:p w14:paraId="571E22EE">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912—2008</w:t>
            </w:r>
          </w:p>
        </w:tc>
        <w:tc>
          <w:tcPr>
            <w:tcW w:w="1515" w:type="dxa"/>
            <w:tcBorders>
              <w:tl2br w:val="nil"/>
              <w:tr2bl w:val="nil"/>
            </w:tcBorders>
            <w:shd w:val="clear" w:color="auto" w:fill="auto"/>
            <w:tcMar>
              <w:top w:w="0" w:type="dxa"/>
              <w:left w:w="105" w:type="dxa"/>
              <w:bottom w:w="0" w:type="dxa"/>
              <w:right w:w="105" w:type="dxa"/>
            </w:tcMar>
            <w:vAlign w:val="center"/>
          </w:tcPr>
          <w:p w14:paraId="245D4CA7">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床脚折页</w:t>
            </w:r>
          </w:p>
        </w:tc>
      </w:tr>
      <w:tr w14:paraId="43D4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vMerge w:val="restart"/>
            <w:tcBorders>
              <w:tl2br w:val="nil"/>
              <w:tr2bl w:val="nil"/>
            </w:tcBorders>
            <w:shd w:val="clear" w:color="auto" w:fill="auto"/>
            <w:tcMar>
              <w:top w:w="0" w:type="dxa"/>
              <w:left w:w="105" w:type="dxa"/>
              <w:bottom w:w="0" w:type="dxa"/>
              <w:right w:w="105" w:type="dxa"/>
            </w:tcMar>
            <w:vAlign w:val="center"/>
          </w:tcPr>
          <w:p w14:paraId="01527E0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天蓝涤纶线带</w:t>
            </w:r>
          </w:p>
        </w:tc>
        <w:tc>
          <w:tcPr>
            <w:tcW w:w="2895" w:type="dxa"/>
            <w:tcBorders>
              <w:tl2br w:val="nil"/>
              <w:tr2bl w:val="nil"/>
            </w:tcBorders>
            <w:shd w:val="clear" w:color="auto" w:fill="auto"/>
            <w:tcMar>
              <w:top w:w="0" w:type="dxa"/>
              <w:left w:w="105" w:type="dxa"/>
              <w:bottom w:w="0" w:type="dxa"/>
              <w:right w:w="105" w:type="dxa"/>
            </w:tcMar>
            <w:vAlign w:val="center"/>
          </w:tcPr>
          <w:p w14:paraId="04EA8D0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28×4/22mm×2.0mm</w:t>
            </w:r>
          </w:p>
        </w:tc>
        <w:tc>
          <w:tcPr>
            <w:tcW w:w="3540" w:type="dxa"/>
            <w:tcBorders>
              <w:tl2br w:val="nil"/>
              <w:tr2bl w:val="nil"/>
            </w:tcBorders>
            <w:shd w:val="clear" w:color="auto" w:fill="auto"/>
            <w:tcMar>
              <w:top w:w="0" w:type="dxa"/>
              <w:left w:w="105" w:type="dxa"/>
              <w:bottom w:w="0" w:type="dxa"/>
              <w:right w:w="105" w:type="dxa"/>
            </w:tcMar>
            <w:vAlign w:val="center"/>
          </w:tcPr>
          <w:p w14:paraId="7246BE0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断裂强力≥1600N</w:t>
            </w:r>
          </w:p>
        </w:tc>
        <w:tc>
          <w:tcPr>
            <w:tcW w:w="1515" w:type="dxa"/>
            <w:tcBorders>
              <w:tl2br w:val="nil"/>
              <w:tr2bl w:val="nil"/>
            </w:tcBorders>
            <w:shd w:val="clear" w:color="auto" w:fill="auto"/>
            <w:tcMar>
              <w:top w:w="0" w:type="dxa"/>
              <w:left w:w="105" w:type="dxa"/>
              <w:bottom w:w="0" w:type="dxa"/>
              <w:right w:w="105" w:type="dxa"/>
            </w:tcMar>
            <w:vAlign w:val="center"/>
          </w:tcPr>
          <w:p w14:paraId="53D07A6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固定床面</w:t>
            </w:r>
          </w:p>
        </w:tc>
      </w:tr>
      <w:tr w14:paraId="5999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vMerge w:val="continue"/>
            <w:tcBorders>
              <w:tl2br w:val="nil"/>
              <w:tr2bl w:val="nil"/>
            </w:tcBorders>
            <w:shd w:val="clear" w:color="auto" w:fill="auto"/>
            <w:tcMar>
              <w:top w:w="0" w:type="dxa"/>
              <w:left w:w="105" w:type="dxa"/>
              <w:bottom w:w="0" w:type="dxa"/>
              <w:right w:w="105" w:type="dxa"/>
            </w:tcMar>
            <w:vAlign w:val="center"/>
          </w:tcPr>
          <w:p w14:paraId="546AA82A">
            <w:pPr>
              <w:rPr>
                <w:rFonts w:hint="eastAsia" w:ascii="宋体"/>
                <w:sz w:val="24"/>
                <w:szCs w:val="24"/>
              </w:rPr>
            </w:pPr>
          </w:p>
        </w:tc>
        <w:tc>
          <w:tcPr>
            <w:tcW w:w="2895" w:type="dxa"/>
            <w:tcBorders>
              <w:tl2br w:val="nil"/>
              <w:tr2bl w:val="nil"/>
            </w:tcBorders>
            <w:shd w:val="clear" w:color="auto" w:fill="auto"/>
            <w:tcMar>
              <w:top w:w="0" w:type="dxa"/>
              <w:left w:w="105" w:type="dxa"/>
              <w:bottom w:w="0" w:type="dxa"/>
              <w:right w:w="105" w:type="dxa"/>
            </w:tcMar>
            <w:vAlign w:val="center"/>
          </w:tcPr>
          <w:p w14:paraId="729A581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28×2/19mm×0.5mm</w:t>
            </w:r>
          </w:p>
        </w:tc>
        <w:tc>
          <w:tcPr>
            <w:tcW w:w="3540" w:type="dxa"/>
            <w:tcBorders>
              <w:tl2br w:val="nil"/>
              <w:tr2bl w:val="nil"/>
            </w:tcBorders>
            <w:shd w:val="clear" w:color="auto" w:fill="auto"/>
            <w:tcMar>
              <w:top w:w="0" w:type="dxa"/>
              <w:left w:w="105" w:type="dxa"/>
              <w:bottom w:w="0" w:type="dxa"/>
              <w:right w:w="105" w:type="dxa"/>
            </w:tcMar>
            <w:vAlign w:val="center"/>
          </w:tcPr>
          <w:p w14:paraId="3054F40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断裂强力≥400N</w:t>
            </w:r>
          </w:p>
        </w:tc>
        <w:tc>
          <w:tcPr>
            <w:tcW w:w="1515" w:type="dxa"/>
            <w:tcBorders>
              <w:tl2br w:val="nil"/>
              <w:tr2bl w:val="nil"/>
            </w:tcBorders>
            <w:shd w:val="clear" w:color="auto" w:fill="auto"/>
            <w:tcMar>
              <w:top w:w="0" w:type="dxa"/>
              <w:left w:w="105" w:type="dxa"/>
              <w:bottom w:w="0" w:type="dxa"/>
              <w:right w:w="105" w:type="dxa"/>
            </w:tcMar>
            <w:vAlign w:val="center"/>
          </w:tcPr>
          <w:p w14:paraId="36F8C18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滚边</w:t>
            </w:r>
          </w:p>
        </w:tc>
      </w:tr>
      <w:tr w14:paraId="6C75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vMerge w:val="continue"/>
            <w:tcBorders>
              <w:tl2br w:val="nil"/>
              <w:tr2bl w:val="nil"/>
            </w:tcBorders>
            <w:shd w:val="clear" w:color="auto" w:fill="auto"/>
            <w:tcMar>
              <w:top w:w="0" w:type="dxa"/>
              <w:left w:w="105" w:type="dxa"/>
              <w:bottom w:w="0" w:type="dxa"/>
              <w:right w:w="105" w:type="dxa"/>
            </w:tcMar>
            <w:vAlign w:val="center"/>
          </w:tcPr>
          <w:p w14:paraId="76C6A889">
            <w:pPr>
              <w:rPr>
                <w:rFonts w:hint="eastAsia" w:ascii="宋体"/>
                <w:sz w:val="24"/>
                <w:szCs w:val="24"/>
              </w:rPr>
            </w:pPr>
          </w:p>
        </w:tc>
        <w:tc>
          <w:tcPr>
            <w:tcW w:w="2895" w:type="dxa"/>
            <w:tcBorders>
              <w:tl2br w:val="nil"/>
              <w:tr2bl w:val="nil"/>
            </w:tcBorders>
            <w:shd w:val="clear" w:color="auto" w:fill="auto"/>
            <w:tcMar>
              <w:top w:w="0" w:type="dxa"/>
              <w:left w:w="105" w:type="dxa"/>
              <w:bottom w:w="0" w:type="dxa"/>
              <w:right w:w="105" w:type="dxa"/>
            </w:tcMar>
            <w:vAlign w:val="center"/>
          </w:tcPr>
          <w:p w14:paraId="4C50610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28×4/50mm×1.8mm</w:t>
            </w:r>
          </w:p>
        </w:tc>
        <w:tc>
          <w:tcPr>
            <w:tcW w:w="3540" w:type="dxa"/>
            <w:tcBorders>
              <w:tl2br w:val="nil"/>
              <w:tr2bl w:val="nil"/>
            </w:tcBorders>
            <w:shd w:val="clear" w:color="auto" w:fill="auto"/>
            <w:tcMar>
              <w:top w:w="0" w:type="dxa"/>
              <w:left w:w="105" w:type="dxa"/>
              <w:bottom w:w="0" w:type="dxa"/>
              <w:right w:w="105" w:type="dxa"/>
            </w:tcMar>
            <w:vAlign w:val="center"/>
          </w:tcPr>
          <w:p w14:paraId="75A7744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断裂强力≥2500N</w:t>
            </w:r>
          </w:p>
        </w:tc>
        <w:tc>
          <w:tcPr>
            <w:tcW w:w="1515" w:type="dxa"/>
            <w:tcBorders>
              <w:tl2br w:val="nil"/>
              <w:tr2bl w:val="nil"/>
            </w:tcBorders>
            <w:shd w:val="clear" w:color="auto" w:fill="auto"/>
            <w:tcMar>
              <w:top w:w="0" w:type="dxa"/>
              <w:left w:w="105" w:type="dxa"/>
              <w:bottom w:w="0" w:type="dxa"/>
              <w:right w:w="105" w:type="dxa"/>
            </w:tcMar>
            <w:vAlign w:val="center"/>
          </w:tcPr>
          <w:p w14:paraId="3D95A2F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束紧带</w:t>
            </w:r>
          </w:p>
        </w:tc>
      </w:tr>
      <w:tr w14:paraId="2C69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22AFFF9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插扣</w:t>
            </w:r>
          </w:p>
        </w:tc>
        <w:tc>
          <w:tcPr>
            <w:tcW w:w="2895" w:type="dxa"/>
            <w:vMerge w:val="restart"/>
            <w:tcBorders>
              <w:tl2br w:val="nil"/>
              <w:tr2bl w:val="nil"/>
            </w:tcBorders>
            <w:shd w:val="clear" w:color="auto" w:fill="auto"/>
            <w:tcMar>
              <w:top w:w="0" w:type="dxa"/>
              <w:left w:w="105" w:type="dxa"/>
              <w:bottom w:w="0" w:type="dxa"/>
              <w:right w:w="105" w:type="dxa"/>
            </w:tcMar>
            <w:vAlign w:val="center"/>
          </w:tcPr>
          <w:p w14:paraId="0024653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聚甲醛  50mm</w:t>
            </w:r>
          </w:p>
        </w:tc>
        <w:tc>
          <w:tcPr>
            <w:tcW w:w="3540" w:type="dxa"/>
            <w:tcBorders>
              <w:tl2br w:val="nil"/>
              <w:tr2bl w:val="nil"/>
            </w:tcBorders>
            <w:shd w:val="clear" w:color="auto" w:fill="auto"/>
            <w:tcMar>
              <w:top w:w="0" w:type="dxa"/>
              <w:left w:w="105" w:type="dxa"/>
              <w:bottom w:w="0" w:type="dxa"/>
              <w:right w:w="105" w:type="dxa"/>
            </w:tcMar>
            <w:vAlign w:val="top"/>
          </w:tcPr>
          <w:p w14:paraId="4721F25C">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抗拉强力≥700N</w:t>
            </w:r>
          </w:p>
        </w:tc>
        <w:tc>
          <w:tcPr>
            <w:tcW w:w="1515" w:type="dxa"/>
            <w:tcBorders>
              <w:tl2br w:val="nil"/>
              <w:tr2bl w:val="nil"/>
            </w:tcBorders>
            <w:shd w:val="clear" w:color="auto" w:fill="auto"/>
            <w:tcMar>
              <w:top w:w="0" w:type="dxa"/>
              <w:left w:w="105" w:type="dxa"/>
              <w:bottom w:w="0" w:type="dxa"/>
              <w:right w:w="105" w:type="dxa"/>
            </w:tcMar>
            <w:vAlign w:val="center"/>
          </w:tcPr>
          <w:p w14:paraId="7E844F9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连接束紧带</w:t>
            </w:r>
          </w:p>
        </w:tc>
      </w:tr>
      <w:tr w14:paraId="19AF2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786A4E1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三道梁</w:t>
            </w:r>
          </w:p>
        </w:tc>
        <w:tc>
          <w:tcPr>
            <w:tcW w:w="2895" w:type="dxa"/>
            <w:vMerge w:val="continue"/>
            <w:tcBorders>
              <w:tl2br w:val="nil"/>
              <w:tr2bl w:val="nil"/>
            </w:tcBorders>
            <w:shd w:val="clear" w:color="auto" w:fill="auto"/>
            <w:tcMar>
              <w:top w:w="0" w:type="dxa"/>
              <w:left w:w="105" w:type="dxa"/>
              <w:bottom w:w="0" w:type="dxa"/>
              <w:right w:w="105" w:type="dxa"/>
            </w:tcMar>
            <w:vAlign w:val="center"/>
          </w:tcPr>
          <w:p w14:paraId="2728BCD1">
            <w:pPr>
              <w:rPr>
                <w:rFonts w:hint="eastAsia" w:ascii="宋体"/>
                <w:sz w:val="24"/>
                <w:szCs w:val="24"/>
              </w:rPr>
            </w:pPr>
          </w:p>
        </w:tc>
        <w:tc>
          <w:tcPr>
            <w:tcW w:w="3540" w:type="dxa"/>
            <w:tcBorders>
              <w:tl2br w:val="nil"/>
              <w:tr2bl w:val="nil"/>
            </w:tcBorders>
            <w:shd w:val="clear" w:color="auto" w:fill="auto"/>
            <w:tcMar>
              <w:top w:w="0" w:type="dxa"/>
              <w:left w:w="105" w:type="dxa"/>
              <w:bottom w:w="0" w:type="dxa"/>
              <w:right w:w="105" w:type="dxa"/>
            </w:tcMar>
            <w:vAlign w:val="top"/>
          </w:tcPr>
          <w:p w14:paraId="484FE32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抗拉强力≥900N</w:t>
            </w:r>
          </w:p>
        </w:tc>
        <w:tc>
          <w:tcPr>
            <w:tcW w:w="1515" w:type="dxa"/>
            <w:tcBorders>
              <w:tl2br w:val="nil"/>
              <w:tr2bl w:val="nil"/>
            </w:tcBorders>
            <w:shd w:val="clear" w:color="auto" w:fill="auto"/>
            <w:tcMar>
              <w:top w:w="0" w:type="dxa"/>
              <w:left w:w="105" w:type="dxa"/>
              <w:bottom w:w="0" w:type="dxa"/>
              <w:right w:w="105" w:type="dxa"/>
            </w:tcMar>
            <w:vAlign w:val="center"/>
          </w:tcPr>
          <w:p w14:paraId="1ED8D9E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调节束紧带</w:t>
            </w:r>
          </w:p>
        </w:tc>
      </w:tr>
      <w:tr w14:paraId="6163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62DE52E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活动三节环</w:t>
            </w:r>
          </w:p>
        </w:tc>
        <w:tc>
          <w:tcPr>
            <w:tcW w:w="2895" w:type="dxa"/>
            <w:tcBorders>
              <w:tl2br w:val="nil"/>
              <w:tr2bl w:val="nil"/>
            </w:tcBorders>
            <w:shd w:val="clear" w:color="auto" w:fill="auto"/>
            <w:tcMar>
              <w:top w:w="0" w:type="dxa"/>
              <w:left w:w="105" w:type="dxa"/>
              <w:bottom w:w="0" w:type="dxa"/>
              <w:right w:w="105" w:type="dxa"/>
            </w:tcMar>
            <w:vAlign w:val="center"/>
          </w:tcPr>
          <w:p w14:paraId="777A8CC6">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Q195～Q235 24mm×17mm</w:t>
            </w:r>
          </w:p>
        </w:tc>
        <w:tc>
          <w:tcPr>
            <w:tcW w:w="3540" w:type="dxa"/>
            <w:tcBorders>
              <w:tl2br w:val="nil"/>
              <w:tr2bl w:val="nil"/>
            </w:tcBorders>
            <w:shd w:val="clear" w:color="auto" w:fill="auto"/>
            <w:tcMar>
              <w:top w:w="0" w:type="dxa"/>
              <w:left w:w="105" w:type="dxa"/>
              <w:bottom w:w="0" w:type="dxa"/>
              <w:right w:w="105" w:type="dxa"/>
            </w:tcMar>
            <w:vAlign w:val="center"/>
          </w:tcPr>
          <w:p w14:paraId="279C5EEE">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YB/T5294—2006、JS3—17—1980</w:t>
            </w:r>
          </w:p>
        </w:tc>
        <w:tc>
          <w:tcPr>
            <w:tcW w:w="1515" w:type="dxa"/>
            <w:tcBorders>
              <w:tl2br w:val="nil"/>
              <w:tr2bl w:val="nil"/>
            </w:tcBorders>
            <w:shd w:val="clear" w:color="auto" w:fill="auto"/>
            <w:tcMar>
              <w:top w:w="0" w:type="dxa"/>
              <w:left w:w="105" w:type="dxa"/>
              <w:bottom w:w="0" w:type="dxa"/>
              <w:right w:w="105" w:type="dxa"/>
            </w:tcMar>
            <w:vAlign w:val="center"/>
          </w:tcPr>
          <w:p w14:paraId="6B7A46B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固定床面</w:t>
            </w:r>
          </w:p>
        </w:tc>
      </w:tr>
      <w:tr w14:paraId="5B77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71231CD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天蓝锦丝搭扣带</w:t>
            </w:r>
          </w:p>
        </w:tc>
        <w:tc>
          <w:tcPr>
            <w:tcW w:w="2895" w:type="dxa"/>
            <w:tcBorders>
              <w:tl2br w:val="nil"/>
              <w:tr2bl w:val="nil"/>
            </w:tcBorders>
            <w:shd w:val="clear" w:color="auto" w:fill="auto"/>
            <w:tcMar>
              <w:top w:w="0" w:type="dxa"/>
              <w:left w:w="105" w:type="dxa"/>
              <w:bottom w:w="0" w:type="dxa"/>
              <w:right w:w="105" w:type="dxa"/>
            </w:tcMar>
            <w:vAlign w:val="center"/>
          </w:tcPr>
          <w:p w14:paraId="7AB426B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宽度 25mm</w:t>
            </w:r>
          </w:p>
        </w:tc>
        <w:tc>
          <w:tcPr>
            <w:tcW w:w="3540" w:type="dxa"/>
            <w:tcBorders>
              <w:tl2br w:val="nil"/>
              <w:tr2bl w:val="nil"/>
            </w:tcBorders>
            <w:shd w:val="clear" w:color="auto" w:fill="auto"/>
            <w:tcMar>
              <w:top w:w="0" w:type="dxa"/>
              <w:left w:w="105" w:type="dxa"/>
              <w:bottom w:w="0" w:type="dxa"/>
              <w:right w:w="105" w:type="dxa"/>
            </w:tcMar>
            <w:vAlign w:val="center"/>
          </w:tcPr>
          <w:p w14:paraId="7D0D709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扣合强度≥7.0N/cm</w:t>
            </w:r>
            <w:r>
              <w:rPr>
                <w:rFonts w:hint="eastAsia" w:ascii="宋体" w:hAnsi="宋体" w:eastAsia="宋体" w:cs="宋体"/>
                <w:sz w:val="21"/>
                <w:szCs w:val="21"/>
                <w:vertAlign w:val="superscript"/>
              </w:rPr>
              <w:t>2</w:t>
            </w:r>
            <w:r>
              <w:rPr>
                <w:rFonts w:hint="eastAsia" w:ascii="宋体" w:hAnsi="宋体" w:eastAsia="宋体" w:cs="宋体"/>
                <w:sz w:val="21"/>
                <w:szCs w:val="21"/>
              </w:rPr>
              <w:t>，撕揭强度≥1.3N/cm</w:t>
            </w:r>
          </w:p>
        </w:tc>
        <w:tc>
          <w:tcPr>
            <w:tcW w:w="1515" w:type="dxa"/>
            <w:tcBorders>
              <w:tl2br w:val="nil"/>
              <w:tr2bl w:val="nil"/>
            </w:tcBorders>
            <w:shd w:val="clear" w:color="auto" w:fill="auto"/>
            <w:tcMar>
              <w:top w:w="0" w:type="dxa"/>
              <w:left w:w="105" w:type="dxa"/>
              <w:bottom w:w="0" w:type="dxa"/>
              <w:right w:w="105" w:type="dxa"/>
            </w:tcMar>
            <w:vAlign w:val="center"/>
          </w:tcPr>
          <w:p w14:paraId="2FC4EF7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固定隔板、枕头</w:t>
            </w:r>
          </w:p>
        </w:tc>
      </w:tr>
      <w:tr w14:paraId="313D9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59584C27">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天蓝缝纫线</w:t>
            </w:r>
          </w:p>
        </w:tc>
        <w:tc>
          <w:tcPr>
            <w:tcW w:w="2895" w:type="dxa"/>
            <w:tcBorders>
              <w:tl2br w:val="nil"/>
              <w:tr2bl w:val="nil"/>
            </w:tcBorders>
            <w:shd w:val="clear" w:color="auto" w:fill="auto"/>
            <w:tcMar>
              <w:top w:w="0" w:type="dxa"/>
              <w:left w:w="105" w:type="dxa"/>
              <w:bottom w:w="0" w:type="dxa"/>
              <w:right w:w="105" w:type="dxa"/>
            </w:tcMar>
            <w:vAlign w:val="center"/>
          </w:tcPr>
          <w:p w14:paraId="79F85BE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29.5tex×3</w:t>
            </w:r>
          </w:p>
        </w:tc>
        <w:tc>
          <w:tcPr>
            <w:tcW w:w="3540" w:type="dxa"/>
            <w:tcBorders>
              <w:tl2br w:val="nil"/>
              <w:tr2bl w:val="nil"/>
            </w:tcBorders>
            <w:shd w:val="clear" w:color="auto" w:fill="auto"/>
            <w:tcMar>
              <w:top w:w="0" w:type="dxa"/>
              <w:left w:w="105" w:type="dxa"/>
              <w:bottom w:w="0" w:type="dxa"/>
              <w:right w:w="105" w:type="dxa"/>
            </w:tcMar>
            <w:vAlign w:val="center"/>
          </w:tcPr>
          <w:p w14:paraId="6B447CC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6836—2007</w:t>
            </w:r>
          </w:p>
        </w:tc>
        <w:tc>
          <w:tcPr>
            <w:tcW w:w="1515" w:type="dxa"/>
            <w:tcBorders>
              <w:tl2br w:val="nil"/>
              <w:tr2bl w:val="nil"/>
            </w:tcBorders>
            <w:shd w:val="clear" w:color="auto" w:fill="auto"/>
            <w:tcMar>
              <w:top w:w="0" w:type="dxa"/>
              <w:left w:w="105" w:type="dxa"/>
              <w:bottom w:w="0" w:type="dxa"/>
              <w:right w:w="105" w:type="dxa"/>
            </w:tcMar>
            <w:vAlign w:val="center"/>
          </w:tcPr>
          <w:p w14:paraId="1B0DD43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缝制</w:t>
            </w:r>
          </w:p>
        </w:tc>
      </w:tr>
      <w:tr w14:paraId="707F7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3CE8D9C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塑料板</w:t>
            </w:r>
          </w:p>
        </w:tc>
        <w:tc>
          <w:tcPr>
            <w:tcW w:w="2895" w:type="dxa"/>
            <w:tcBorders>
              <w:tl2br w:val="nil"/>
              <w:tr2bl w:val="nil"/>
            </w:tcBorders>
            <w:shd w:val="clear" w:color="auto" w:fill="auto"/>
            <w:tcMar>
              <w:top w:w="0" w:type="dxa"/>
              <w:left w:w="105" w:type="dxa"/>
              <w:bottom w:w="0" w:type="dxa"/>
              <w:right w:w="105" w:type="dxa"/>
            </w:tcMar>
            <w:vAlign w:val="center"/>
          </w:tcPr>
          <w:p w14:paraId="4F15C99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PVC  840mm×500mm×4mm</w:t>
            </w:r>
          </w:p>
        </w:tc>
        <w:tc>
          <w:tcPr>
            <w:tcW w:w="3540" w:type="dxa"/>
            <w:tcBorders>
              <w:tl2br w:val="nil"/>
              <w:tr2bl w:val="nil"/>
            </w:tcBorders>
            <w:shd w:val="clear" w:color="auto" w:fill="auto"/>
            <w:tcMar>
              <w:top w:w="0" w:type="dxa"/>
              <w:left w:w="105" w:type="dxa"/>
              <w:bottom w:w="0" w:type="dxa"/>
              <w:right w:w="105" w:type="dxa"/>
            </w:tcMar>
            <w:vAlign w:val="center"/>
          </w:tcPr>
          <w:p w14:paraId="7A601222">
            <w:pPr>
              <w:keepNext w:val="0"/>
              <w:keepLines w:val="0"/>
              <w:widowControl/>
              <w:suppressLineNumbers w:val="0"/>
              <w:jc w:val="left"/>
            </w:pPr>
          </w:p>
        </w:tc>
        <w:tc>
          <w:tcPr>
            <w:tcW w:w="1515" w:type="dxa"/>
            <w:tcBorders>
              <w:tl2br w:val="nil"/>
              <w:tr2bl w:val="nil"/>
            </w:tcBorders>
            <w:shd w:val="clear" w:color="auto" w:fill="auto"/>
            <w:tcMar>
              <w:top w:w="0" w:type="dxa"/>
              <w:left w:w="105" w:type="dxa"/>
              <w:bottom w:w="0" w:type="dxa"/>
              <w:right w:w="105" w:type="dxa"/>
            </w:tcMar>
            <w:vAlign w:val="center"/>
          </w:tcPr>
          <w:p w14:paraId="1307184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垫床面</w:t>
            </w:r>
          </w:p>
        </w:tc>
      </w:tr>
      <w:tr w14:paraId="6C1E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51990F8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螺钉</w:t>
            </w:r>
          </w:p>
        </w:tc>
        <w:tc>
          <w:tcPr>
            <w:tcW w:w="2895" w:type="dxa"/>
            <w:tcBorders>
              <w:tl2br w:val="nil"/>
              <w:tr2bl w:val="nil"/>
            </w:tcBorders>
            <w:shd w:val="clear" w:color="auto" w:fill="auto"/>
            <w:tcMar>
              <w:top w:w="0" w:type="dxa"/>
              <w:left w:w="105" w:type="dxa"/>
              <w:bottom w:w="0" w:type="dxa"/>
              <w:right w:w="105" w:type="dxa"/>
            </w:tcMar>
            <w:vAlign w:val="center"/>
          </w:tcPr>
          <w:p w14:paraId="5C732EDC">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M4mm</w:t>
            </w:r>
          </w:p>
        </w:tc>
        <w:tc>
          <w:tcPr>
            <w:tcW w:w="3540" w:type="dxa"/>
            <w:tcBorders>
              <w:tl2br w:val="nil"/>
              <w:tr2bl w:val="nil"/>
            </w:tcBorders>
            <w:shd w:val="clear" w:color="auto" w:fill="auto"/>
            <w:tcMar>
              <w:top w:w="0" w:type="dxa"/>
              <w:left w:w="105" w:type="dxa"/>
              <w:bottom w:w="0" w:type="dxa"/>
              <w:right w:w="105" w:type="dxa"/>
            </w:tcMar>
            <w:vAlign w:val="center"/>
          </w:tcPr>
          <w:p w14:paraId="40684F1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830—1988</w:t>
            </w:r>
          </w:p>
        </w:tc>
        <w:tc>
          <w:tcPr>
            <w:tcW w:w="1515" w:type="dxa"/>
            <w:tcBorders>
              <w:tl2br w:val="nil"/>
              <w:tr2bl w:val="nil"/>
            </w:tcBorders>
            <w:shd w:val="clear" w:color="auto" w:fill="auto"/>
            <w:tcMar>
              <w:top w:w="0" w:type="dxa"/>
              <w:left w:w="105" w:type="dxa"/>
              <w:bottom w:w="0" w:type="dxa"/>
              <w:right w:w="105" w:type="dxa"/>
            </w:tcMar>
            <w:vAlign w:val="center"/>
          </w:tcPr>
          <w:p w14:paraId="192710F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14:paraId="3032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1D0DFA8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螺母</w:t>
            </w:r>
          </w:p>
        </w:tc>
        <w:tc>
          <w:tcPr>
            <w:tcW w:w="2895" w:type="dxa"/>
            <w:tcBorders>
              <w:tl2br w:val="nil"/>
              <w:tr2bl w:val="nil"/>
            </w:tcBorders>
            <w:shd w:val="clear" w:color="auto" w:fill="auto"/>
            <w:tcMar>
              <w:top w:w="0" w:type="dxa"/>
              <w:left w:w="105" w:type="dxa"/>
              <w:bottom w:w="0" w:type="dxa"/>
              <w:right w:w="105" w:type="dxa"/>
            </w:tcMar>
            <w:vAlign w:val="center"/>
          </w:tcPr>
          <w:p w14:paraId="6B9A4846">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M4mm</w:t>
            </w:r>
          </w:p>
        </w:tc>
        <w:tc>
          <w:tcPr>
            <w:tcW w:w="3540" w:type="dxa"/>
            <w:tcBorders>
              <w:tl2br w:val="nil"/>
              <w:tr2bl w:val="nil"/>
            </w:tcBorders>
            <w:shd w:val="clear" w:color="auto" w:fill="auto"/>
            <w:tcMar>
              <w:top w:w="0" w:type="dxa"/>
              <w:left w:w="105" w:type="dxa"/>
              <w:bottom w:w="0" w:type="dxa"/>
              <w:right w:w="105" w:type="dxa"/>
            </w:tcMar>
            <w:vAlign w:val="center"/>
          </w:tcPr>
          <w:p w14:paraId="05B0545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812—1988</w:t>
            </w:r>
          </w:p>
        </w:tc>
        <w:tc>
          <w:tcPr>
            <w:tcW w:w="1515" w:type="dxa"/>
            <w:tcBorders>
              <w:tl2br w:val="nil"/>
              <w:tr2bl w:val="nil"/>
            </w:tcBorders>
            <w:shd w:val="clear" w:color="auto" w:fill="auto"/>
            <w:tcMar>
              <w:top w:w="0" w:type="dxa"/>
              <w:left w:w="105" w:type="dxa"/>
              <w:bottom w:w="0" w:type="dxa"/>
              <w:right w:w="105" w:type="dxa"/>
            </w:tcMar>
            <w:vAlign w:val="center"/>
          </w:tcPr>
          <w:p w14:paraId="0B947EB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14:paraId="57DC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3B88F3A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垫圈</w:t>
            </w:r>
          </w:p>
        </w:tc>
        <w:tc>
          <w:tcPr>
            <w:tcW w:w="2895" w:type="dxa"/>
            <w:tcBorders>
              <w:tl2br w:val="nil"/>
              <w:tr2bl w:val="nil"/>
            </w:tcBorders>
            <w:shd w:val="clear" w:color="auto" w:fill="auto"/>
            <w:tcMar>
              <w:top w:w="0" w:type="dxa"/>
              <w:left w:w="105" w:type="dxa"/>
              <w:bottom w:w="0" w:type="dxa"/>
              <w:right w:w="105" w:type="dxa"/>
            </w:tcMar>
            <w:vAlign w:val="center"/>
          </w:tcPr>
          <w:p w14:paraId="6F48CE5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M4mm</w:t>
            </w:r>
          </w:p>
        </w:tc>
        <w:tc>
          <w:tcPr>
            <w:tcW w:w="3540" w:type="dxa"/>
            <w:tcBorders>
              <w:tl2br w:val="nil"/>
              <w:tr2bl w:val="nil"/>
            </w:tcBorders>
            <w:shd w:val="clear" w:color="auto" w:fill="auto"/>
            <w:tcMar>
              <w:top w:w="0" w:type="dxa"/>
              <w:left w:w="105" w:type="dxa"/>
              <w:bottom w:w="0" w:type="dxa"/>
              <w:right w:w="105" w:type="dxa"/>
            </w:tcMar>
            <w:vAlign w:val="center"/>
          </w:tcPr>
          <w:p w14:paraId="73EE6E7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GB/T 858—1988</w:t>
            </w:r>
          </w:p>
        </w:tc>
        <w:tc>
          <w:tcPr>
            <w:tcW w:w="1515" w:type="dxa"/>
            <w:tcBorders>
              <w:tl2br w:val="nil"/>
              <w:tr2bl w:val="nil"/>
            </w:tcBorders>
            <w:shd w:val="clear" w:color="auto" w:fill="auto"/>
            <w:tcMar>
              <w:top w:w="0" w:type="dxa"/>
              <w:left w:w="105" w:type="dxa"/>
              <w:bottom w:w="0" w:type="dxa"/>
              <w:right w:w="105" w:type="dxa"/>
            </w:tcMar>
            <w:vAlign w:val="center"/>
          </w:tcPr>
          <w:p w14:paraId="15A4255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14:paraId="6E143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049F69B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铆钉</w:t>
            </w:r>
          </w:p>
        </w:tc>
        <w:tc>
          <w:tcPr>
            <w:tcW w:w="2895" w:type="dxa"/>
            <w:tcBorders>
              <w:tl2br w:val="nil"/>
              <w:tr2bl w:val="nil"/>
            </w:tcBorders>
            <w:shd w:val="clear" w:color="auto" w:fill="auto"/>
            <w:tcMar>
              <w:top w:w="0" w:type="dxa"/>
              <w:left w:w="105" w:type="dxa"/>
              <w:bottom w:w="0" w:type="dxa"/>
              <w:right w:w="105" w:type="dxa"/>
            </w:tcMar>
            <w:vAlign w:val="center"/>
          </w:tcPr>
          <w:p w14:paraId="167BBE8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Q215～Q235  Φ5mm</w:t>
            </w:r>
          </w:p>
        </w:tc>
        <w:tc>
          <w:tcPr>
            <w:tcW w:w="3540" w:type="dxa"/>
            <w:vMerge w:val="restart"/>
            <w:tcBorders>
              <w:tl2br w:val="nil"/>
              <w:tr2bl w:val="nil"/>
            </w:tcBorders>
            <w:shd w:val="clear" w:color="auto" w:fill="auto"/>
            <w:tcMar>
              <w:top w:w="0" w:type="dxa"/>
              <w:left w:w="105" w:type="dxa"/>
              <w:bottom w:w="0" w:type="dxa"/>
              <w:right w:w="105" w:type="dxa"/>
            </w:tcMar>
            <w:vAlign w:val="center"/>
          </w:tcPr>
          <w:p w14:paraId="51FE38AA">
            <w:pPr>
              <w:keepNext w:val="0"/>
              <w:keepLines w:val="0"/>
              <w:widowControl/>
              <w:suppressLineNumbers w:val="0"/>
              <w:jc w:val="left"/>
            </w:pPr>
          </w:p>
        </w:tc>
        <w:tc>
          <w:tcPr>
            <w:tcW w:w="1515" w:type="dxa"/>
            <w:tcBorders>
              <w:tl2br w:val="nil"/>
              <w:tr2bl w:val="nil"/>
            </w:tcBorders>
            <w:shd w:val="clear" w:color="auto" w:fill="auto"/>
            <w:tcMar>
              <w:top w:w="0" w:type="dxa"/>
              <w:left w:w="105" w:type="dxa"/>
              <w:bottom w:w="0" w:type="dxa"/>
              <w:right w:w="105" w:type="dxa"/>
            </w:tcMar>
            <w:vAlign w:val="center"/>
          </w:tcPr>
          <w:p w14:paraId="6ACEAD5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固定折页</w:t>
            </w:r>
          </w:p>
        </w:tc>
      </w:tr>
      <w:tr w14:paraId="6130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211860AE">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海绵</w:t>
            </w:r>
          </w:p>
        </w:tc>
        <w:tc>
          <w:tcPr>
            <w:tcW w:w="2895" w:type="dxa"/>
            <w:tcBorders>
              <w:tl2br w:val="nil"/>
              <w:tr2bl w:val="nil"/>
            </w:tcBorders>
            <w:shd w:val="clear" w:color="auto" w:fill="auto"/>
            <w:tcMar>
              <w:top w:w="0" w:type="dxa"/>
              <w:left w:w="105" w:type="dxa"/>
              <w:bottom w:w="0" w:type="dxa"/>
              <w:right w:w="105" w:type="dxa"/>
            </w:tcMar>
            <w:vAlign w:val="center"/>
          </w:tcPr>
          <w:p w14:paraId="7624DFF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重体海绵</w:t>
            </w:r>
          </w:p>
        </w:tc>
        <w:tc>
          <w:tcPr>
            <w:tcW w:w="3540" w:type="dxa"/>
            <w:vMerge w:val="continue"/>
            <w:tcBorders>
              <w:tl2br w:val="nil"/>
              <w:tr2bl w:val="nil"/>
            </w:tcBorders>
            <w:shd w:val="clear" w:color="auto" w:fill="auto"/>
            <w:tcMar>
              <w:top w:w="0" w:type="dxa"/>
              <w:left w:w="105" w:type="dxa"/>
              <w:bottom w:w="0" w:type="dxa"/>
              <w:right w:w="105" w:type="dxa"/>
            </w:tcMar>
            <w:vAlign w:val="center"/>
          </w:tcPr>
          <w:p w14:paraId="2E41EB18">
            <w:pPr>
              <w:rPr>
                <w:rFonts w:hint="eastAsia" w:ascii="宋体"/>
                <w:sz w:val="24"/>
                <w:szCs w:val="24"/>
              </w:rPr>
            </w:pPr>
          </w:p>
        </w:tc>
        <w:tc>
          <w:tcPr>
            <w:tcW w:w="1515" w:type="dxa"/>
            <w:tcBorders>
              <w:tl2br w:val="nil"/>
              <w:tr2bl w:val="nil"/>
            </w:tcBorders>
            <w:shd w:val="clear" w:color="auto" w:fill="auto"/>
            <w:tcMar>
              <w:top w:w="0" w:type="dxa"/>
              <w:left w:w="105" w:type="dxa"/>
              <w:bottom w:w="0" w:type="dxa"/>
              <w:right w:w="105" w:type="dxa"/>
            </w:tcMar>
            <w:vAlign w:val="center"/>
          </w:tcPr>
          <w:p w14:paraId="7BB0748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填装枕芯</w:t>
            </w:r>
          </w:p>
        </w:tc>
      </w:tr>
      <w:tr w14:paraId="7B89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3181790C">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塑料堵盖</w:t>
            </w:r>
          </w:p>
        </w:tc>
        <w:tc>
          <w:tcPr>
            <w:tcW w:w="2895" w:type="dxa"/>
            <w:tcBorders>
              <w:tl2br w:val="nil"/>
              <w:tr2bl w:val="nil"/>
            </w:tcBorders>
            <w:shd w:val="clear" w:color="auto" w:fill="auto"/>
            <w:tcMar>
              <w:top w:w="0" w:type="dxa"/>
              <w:left w:w="105" w:type="dxa"/>
              <w:bottom w:w="0" w:type="dxa"/>
              <w:right w:w="105" w:type="dxa"/>
            </w:tcMar>
            <w:vAlign w:val="center"/>
          </w:tcPr>
          <w:p w14:paraId="00771A86">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外径Φ23mm</w:t>
            </w:r>
          </w:p>
        </w:tc>
        <w:tc>
          <w:tcPr>
            <w:tcW w:w="3540" w:type="dxa"/>
            <w:vMerge w:val="continue"/>
            <w:tcBorders>
              <w:tl2br w:val="nil"/>
              <w:tr2bl w:val="nil"/>
            </w:tcBorders>
            <w:shd w:val="clear" w:color="auto" w:fill="auto"/>
            <w:tcMar>
              <w:top w:w="0" w:type="dxa"/>
              <w:left w:w="105" w:type="dxa"/>
              <w:bottom w:w="0" w:type="dxa"/>
              <w:right w:w="105" w:type="dxa"/>
            </w:tcMar>
            <w:vAlign w:val="center"/>
          </w:tcPr>
          <w:p w14:paraId="621F0B74">
            <w:pPr>
              <w:rPr>
                <w:rFonts w:hint="eastAsia" w:ascii="宋体"/>
                <w:sz w:val="24"/>
                <w:szCs w:val="24"/>
              </w:rPr>
            </w:pPr>
          </w:p>
        </w:tc>
        <w:tc>
          <w:tcPr>
            <w:tcW w:w="1515" w:type="dxa"/>
            <w:tcBorders>
              <w:tl2br w:val="nil"/>
              <w:tr2bl w:val="nil"/>
            </w:tcBorders>
            <w:shd w:val="clear" w:color="auto" w:fill="auto"/>
            <w:tcMar>
              <w:top w:w="0" w:type="dxa"/>
              <w:left w:w="105" w:type="dxa"/>
              <w:bottom w:w="0" w:type="dxa"/>
              <w:right w:w="105" w:type="dxa"/>
            </w:tcMar>
            <w:vAlign w:val="center"/>
          </w:tcPr>
          <w:p w14:paraId="4A37589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床脚垫</w:t>
            </w:r>
          </w:p>
        </w:tc>
      </w:tr>
      <w:tr w14:paraId="67FF9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45" w:hRule="atLeast"/>
        </w:trPr>
        <w:tc>
          <w:tcPr>
            <w:tcW w:w="1620" w:type="dxa"/>
            <w:tcBorders>
              <w:tl2br w:val="nil"/>
              <w:tr2bl w:val="nil"/>
            </w:tcBorders>
            <w:shd w:val="clear" w:color="auto" w:fill="auto"/>
            <w:tcMar>
              <w:top w:w="0" w:type="dxa"/>
              <w:left w:w="105" w:type="dxa"/>
              <w:bottom w:w="0" w:type="dxa"/>
              <w:right w:w="105" w:type="dxa"/>
            </w:tcMar>
            <w:vAlign w:val="center"/>
          </w:tcPr>
          <w:p w14:paraId="3F01F02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塑料垫托</w:t>
            </w:r>
          </w:p>
        </w:tc>
        <w:tc>
          <w:tcPr>
            <w:tcW w:w="2895" w:type="dxa"/>
            <w:tcBorders>
              <w:tl2br w:val="nil"/>
              <w:tr2bl w:val="nil"/>
            </w:tcBorders>
            <w:shd w:val="clear" w:color="auto" w:fill="auto"/>
            <w:tcMar>
              <w:top w:w="0" w:type="dxa"/>
              <w:left w:w="105" w:type="dxa"/>
              <w:bottom w:w="0" w:type="dxa"/>
              <w:right w:w="105" w:type="dxa"/>
            </w:tcMar>
            <w:vAlign w:val="center"/>
          </w:tcPr>
          <w:p w14:paraId="1B0F1EE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w:t>
            </w:r>
          </w:p>
        </w:tc>
        <w:tc>
          <w:tcPr>
            <w:tcW w:w="3540" w:type="dxa"/>
            <w:vMerge w:val="continue"/>
            <w:tcBorders>
              <w:tl2br w:val="nil"/>
              <w:tr2bl w:val="nil"/>
            </w:tcBorders>
            <w:shd w:val="clear" w:color="auto" w:fill="auto"/>
            <w:tcMar>
              <w:top w:w="0" w:type="dxa"/>
              <w:left w:w="105" w:type="dxa"/>
              <w:bottom w:w="0" w:type="dxa"/>
              <w:right w:w="105" w:type="dxa"/>
            </w:tcMar>
            <w:vAlign w:val="center"/>
          </w:tcPr>
          <w:p w14:paraId="6567915F">
            <w:pPr>
              <w:rPr>
                <w:rFonts w:hint="eastAsia" w:ascii="宋体"/>
                <w:sz w:val="24"/>
                <w:szCs w:val="24"/>
              </w:rPr>
            </w:pPr>
          </w:p>
        </w:tc>
        <w:tc>
          <w:tcPr>
            <w:tcW w:w="1515" w:type="dxa"/>
            <w:tcBorders>
              <w:tl2br w:val="nil"/>
              <w:tr2bl w:val="nil"/>
            </w:tcBorders>
            <w:shd w:val="clear" w:color="auto" w:fill="auto"/>
            <w:tcMar>
              <w:top w:w="0" w:type="dxa"/>
              <w:left w:w="105" w:type="dxa"/>
              <w:bottom w:w="0" w:type="dxa"/>
              <w:right w:w="105" w:type="dxa"/>
            </w:tcMar>
            <w:vAlign w:val="center"/>
          </w:tcPr>
          <w:p w14:paraId="785701F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垫床脚</w:t>
            </w:r>
          </w:p>
        </w:tc>
      </w:tr>
    </w:tbl>
    <w:p w14:paraId="3FF4E8E8">
      <w:pPr>
        <w:pStyle w:val="5"/>
        <w:keepNext w:val="0"/>
        <w:keepLines w:val="0"/>
        <w:widowControl/>
        <w:suppressLineNumbers w:val="0"/>
        <w:spacing w:before="0" w:beforeAutospacing="0" w:after="150" w:afterAutospacing="0" w:line="555" w:lineRule="atLeast"/>
        <w:ind w:left="0" w:right="0" w:firstLine="555"/>
      </w:pPr>
    </w:p>
    <w:p w14:paraId="1AB5E881">
      <w:pPr>
        <w:pStyle w:val="5"/>
        <w:keepNext w:val="0"/>
        <w:keepLines w:val="0"/>
        <w:widowControl/>
        <w:suppressLineNumbers w:val="0"/>
        <w:spacing w:before="0" w:beforeAutospacing="0" w:after="150" w:afterAutospacing="0" w:line="555" w:lineRule="atLeast"/>
        <w:ind w:left="0" w:right="0" w:firstLine="555"/>
        <w:rPr>
          <w:rFonts w:hint="eastAsia" w:ascii="宋体" w:hAnsi="宋体" w:eastAsia="宋体" w:cs="宋体"/>
          <w:sz w:val="28"/>
          <w:szCs w:val="28"/>
        </w:rPr>
      </w:pPr>
    </w:p>
    <w:p w14:paraId="313CEBFF">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1.3外观质量</w:t>
      </w:r>
    </w:p>
    <w:p w14:paraId="6EBD3497">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1.3.1外观应规整、平展、整洁。</w:t>
      </w:r>
    </w:p>
    <w:p w14:paraId="33D6190B">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1.3.2面料颜色为天蓝PANTONG 19—4049成品表面色差按GB/T 250—2008检验时不得低于4级。各种线带与主体材料的色差不得低于3级。</w:t>
      </w:r>
    </w:p>
    <w:p w14:paraId="1AEE2053">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1.3.3白色印字应端正,清晰,色度饱满,牢固,不得露底色。</w:t>
      </w:r>
    </w:p>
    <w:p w14:paraId="06590E7D">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1.4缝制要求</w:t>
      </w:r>
    </w:p>
    <w:p w14:paraId="753B44F5">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1.4.1在床头正面缝制一个能装入一块长度为800mm，宽度为500mm，厚度为4mm的塑料板的贴袋，并在开口部位上部缝制一个袋盖，通过搭扣带扣合。枕头高60mm，与缝制在床头背面上部居中部位的锦丝搭扣带扣合。</w:t>
      </w:r>
    </w:p>
    <w:p w14:paraId="39237D50">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1.4.2在床面背部缝制两条采用插扣连接、三道梁调节的束紧带，束紧带净长1700mm。带子宽度为50mm，插扣穿带孔内径大于50mm。</w:t>
      </w:r>
    </w:p>
    <w:p w14:paraId="5EED7D86">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1.4.3缝纫线路须规整、线迹直顺针码均匀、缝制牢固，缝头宽窄一致，不得有开线、断线、跳线、死折、残留针眼、出套、毛漏及掉道等缺陷。</w:t>
      </w:r>
    </w:p>
    <w:p w14:paraId="7701034A">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1.4.4起止针须回针3道～5道，长度为10mm～15mm，断线接头处须重缝20mm～30mm。</w:t>
      </w:r>
    </w:p>
    <w:p w14:paraId="020BF0DB">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1.4.5针码密度，7针/30mm～10针/30mm，上下线松紧应一致。</w:t>
      </w:r>
    </w:p>
    <w:p w14:paraId="39FDA432">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1.4.6明线距边宽1mm～2mm，缝后应平展。</w:t>
      </w:r>
    </w:p>
    <w:p w14:paraId="02AC64D0">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1.4.7滚条包边应包紧扎实。</w:t>
      </w:r>
    </w:p>
    <w:p w14:paraId="669ADE4F">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1.4.8各线带缝制部位应加垫布。</w:t>
      </w:r>
    </w:p>
    <w:p w14:paraId="139D2D34">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1.5床架要求</w:t>
      </w:r>
    </w:p>
    <w:p w14:paraId="7D5C3BCB">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1.5.1床架结构，见图4</w:t>
      </w:r>
    </w:p>
    <w:p w14:paraId="62B42B7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drawing>
          <wp:inline distT="0" distB="0" distL="114300" distR="114300">
            <wp:extent cx="4381500" cy="4610100"/>
            <wp:effectExtent l="0" t="0" r="0" b="0"/>
            <wp:docPr id="17" name="图片 17" descr="1562144827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62144827342.png"/>
                    <pic:cNvPicPr>
                      <a:picLocks noChangeAspect="1"/>
                    </pic:cNvPicPr>
                  </pic:nvPicPr>
                  <pic:blipFill>
                    <a:blip r:embed="rId14"/>
                    <a:stretch>
                      <a:fillRect/>
                    </a:stretch>
                  </pic:blipFill>
                  <pic:spPr>
                    <a:xfrm>
                      <a:off x="0" y="0"/>
                      <a:ext cx="4381500" cy="4610100"/>
                    </a:xfrm>
                    <a:prstGeom prst="rect">
                      <a:avLst/>
                    </a:prstGeom>
                    <a:noFill/>
                    <a:ln w="9525">
                      <a:noFill/>
                    </a:ln>
                  </pic:spPr>
                </pic:pic>
              </a:graphicData>
            </a:graphic>
          </wp:inline>
        </w:drawing>
      </w:r>
    </w:p>
    <w:p w14:paraId="429CD61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图4 床架结构</w:t>
      </w:r>
    </w:p>
    <w:p w14:paraId="3D42052A">
      <w:pPr>
        <w:pStyle w:val="5"/>
        <w:keepNext w:val="0"/>
        <w:keepLines w:val="0"/>
        <w:widowControl/>
        <w:suppressLineNumbers w:val="0"/>
        <w:spacing w:before="0" w:beforeAutospacing="0" w:after="150" w:afterAutospacing="0"/>
        <w:ind w:left="0" w:right="0"/>
      </w:pPr>
    </w:p>
    <w:p w14:paraId="103016C3">
      <w:pPr>
        <w:pStyle w:val="5"/>
        <w:keepNext w:val="0"/>
        <w:keepLines w:val="0"/>
        <w:widowControl/>
        <w:suppressLineNumbers w:val="0"/>
        <w:spacing w:before="0" w:beforeAutospacing="0" w:after="150" w:afterAutospacing="0"/>
        <w:ind w:left="0" w:right="0"/>
      </w:pPr>
    </w:p>
    <w:p w14:paraId="6CFF8408">
      <w:pPr>
        <w:pStyle w:val="5"/>
        <w:keepNext w:val="0"/>
        <w:keepLines w:val="0"/>
        <w:widowControl/>
        <w:suppressLineNumbers w:val="0"/>
        <w:spacing w:before="0" w:beforeAutospacing="0" w:after="150" w:afterAutospacing="0" w:line="555" w:lineRule="atLeast"/>
        <w:ind w:left="0" w:right="0" w:firstLine="555"/>
        <w:rPr>
          <w:rFonts w:hint="eastAsia" w:ascii="宋体" w:hAnsi="宋体" w:eastAsia="宋体" w:cs="宋体"/>
          <w:sz w:val="28"/>
          <w:szCs w:val="28"/>
        </w:rPr>
      </w:pPr>
    </w:p>
    <w:p w14:paraId="070F4CBE">
      <w:pPr>
        <w:pStyle w:val="5"/>
        <w:keepNext w:val="0"/>
        <w:keepLines w:val="0"/>
        <w:widowControl/>
        <w:suppressLineNumbers w:val="0"/>
        <w:spacing w:before="0" w:beforeAutospacing="0" w:after="150" w:afterAutospacing="0" w:line="555" w:lineRule="atLeast"/>
        <w:ind w:left="0" w:right="0" w:firstLine="555"/>
        <w:rPr>
          <w:rFonts w:hint="eastAsia" w:ascii="宋体" w:hAnsi="宋体" w:eastAsia="宋体" w:cs="宋体"/>
          <w:sz w:val="28"/>
          <w:szCs w:val="28"/>
        </w:rPr>
      </w:pPr>
    </w:p>
    <w:p w14:paraId="11ABADF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1.5.1床整体支承后水平偏差不得超过5mm。</w:t>
      </w:r>
    </w:p>
    <w:p w14:paraId="2E61F51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1.5.2床架、床脚及折页各配件喷塑前需除油、除锈、磷化处理后再进行喷塑环氧树脂处理，颜色为本白，色相应均匀、漆膜应饱满、光洁、均匀、牢固，不得有露底、积粉、流挂、皱皮等缺陷。</w:t>
      </w:r>
    </w:p>
    <w:p w14:paraId="0D0F550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1.5.3床架、床脚</w:t>
      </w:r>
      <w:r>
        <w:rPr>
          <w:rFonts w:hint="eastAsia" w:ascii="宋体" w:hAnsi="宋体" w:eastAsia="宋体" w:cs="宋体"/>
          <w:spacing w:val="0"/>
          <w:sz w:val="28"/>
          <w:szCs w:val="28"/>
        </w:rPr>
        <w:t>100°～</w:t>
      </w:r>
      <w:r>
        <w:rPr>
          <w:rFonts w:hint="eastAsia" w:ascii="宋体" w:hAnsi="宋体" w:eastAsia="宋体" w:cs="宋体"/>
          <w:sz w:val="28"/>
          <w:szCs w:val="28"/>
        </w:rPr>
        <w:t>105°弯曲部位应规整，各配件表面应光洁，不得有毛刺、锐角。管材不得有裂纹。</w:t>
      </w:r>
    </w:p>
    <w:p w14:paraId="2F1D225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pPr>
      <w:r>
        <w:rPr>
          <w:rFonts w:hint="eastAsia" w:ascii="宋体" w:hAnsi="宋体" w:eastAsia="宋体" w:cs="宋体"/>
          <w:sz w:val="28"/>
          <w:szCs w:val="28"/>
        </w:rPr>
        <w:t>1.5.4折页与床架的螺钉连接松紧适度，折页与床脚的铆合应牢固。铆钉应端正圆滑。</w:t>
      </w:r>
    </w:p>
    <w:p w14:paraId="4F204A80">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500" w:lineRule="exact"/>
        <w:ind w:left="0" w:right="0" w:firstLine="556"/>
        <w:textAlignment w:val="auto"/>
        <w:rPr>
          <w:rFonts w:hint="eastAsia" w:ascii="宋体" w:hAnsi="宋体" w:eastAsia="宋体" w:cs="宋体"/>
          <w:sz w:val="28"/>
          <w:szCs w:val="28"/>
        </w:rPr>
      </w:pPr>
      <w:r>
        <w:rPr>
          <w:rFonts w:hint="eastAsia" w:ascii="宋体" w:hAnsi="宋体" w:eastAsia="宋体" w:cs="宋体"/>
          <w:sz w:val="28"/>
          <w:szCs w:val="28"/>
        </w:rPr>
        <w:t>1.5.5活动三节环经电镀锌及钝化处理。镀层应细致、均匀，不得有镀层粗糙、烧焦、起泡、裂纹、脱落等缺陷。</w:t>
      </w:r>
    </w:p>
    <w:p w14:paraId="45B32311">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r>
        <w:rPr>
          <w:rFonts w:hint="eastAsia" w:ascii="宋体" w:hAnsi="宋体" w:eastAsia="宋体" w:cs="宋体"/>
          <w:sz w:val="28"/>
          <w:szCs w:val="28"/>
        </w:rPr>
        <w:t>1.5.6折叠连接件材料规格为Q195～ Q235，结构见图5-6。</w:t>
      </w:r>
    </w:p>
    <w:p w14:paraId="54B723A6">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r>
        <w:rPr>
          <w:rFonts w:hint="eastAsia" w:ascii="宋体" w:hAnsi="宋体" w:eastAsia="宋体" w:cs="宋体"/>
          <w:sz w:val="28"/>
          <w:szCs w:val="28"/>
        </w:rPr>
        <w:drawing>
          <wp:inline distT="0" distB="0" distL="114300" distR="114300">
            <wp:extent cx="2502535" cy="3135630"/>
            <wp:effectExtent l="0" t="0" r="12065" b="7620"/>
            <wp:docPr id="19" name="图片 19" descr="1562144985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562144985628.png"/>
                    <pic:cNvPicPr>
                      <a:picLocks noChangeAspect="1"/>
                    </pic:cNvPicPr>
                  </pic:nvPicPr>
                  <pic:blipFill>
                    <a:blip r:embed="rId15"/>
                    <a:stretch>
                      <a:fillRect/>
                    </a:stretch>
                  </pic:blipFill>
                  <pic:spPr>
                    <a:xfrm>
                      <a:off x="0" y="0"/>
                      <a:ext cx="2502535" cy="3135630"/>
                    </a:xfrm>
                    <a:prstGeom prst="rect">
                      <a:avLst/>
                    </a:prstGeom>
                    <a:noFill/>
                    <a:ln w="9525">
                      <a:noFill/>
                    </a:ln>
                  </pic:spPr>
                </pic:pic>
              </a:graphicData>
            </a:graphic>
          </wp:inline>
        </w:drawing>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drawing>
          <wp:inline distT="0" distB="0" distL="114300" distR="114300">
            <wp:extent cx="2431415" cy="3505200"/>
            <wp:effectExtent l="0" t="0" r="6985" b="0"/>
            <wp:docPr id="18" name="图片 18" descr="15621449767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62144976793.png"/>
                    <pic:cNvPicPr>
                      <a:picLocks noChangeAspect="1"/>
                    </pic:cNvPicPr>
                  </pic:nvPicPr>
                  <pic:blipFill>
                    <a:blip r:embed="rId16"/>
                    <a:stretch>
                      <a:fillRect/>
                    </a:stretch>
                  </pic:blipFill>
                  <pic:spPr>
                    <a:xfrm>
                      <a:off x="0" y="0"/>
                      <a:ext cx="2431415" cy="3505200"/>
                    </a:xfrm>
                    <a:prstGeom prst="rect">
                      <a:avLst/>
                    </a:prstGeom>
                    <a:noFill/>
                    <a:ln w="9525">
                      <a:noFill/>
                    </a:ln>
                  </pic:spPr>
                </pic:pic>
              </a:graphicData>
            </a:graphic>
          </wp:inline>
        </w:drawing>
      </w:r>
    </w:p>
    <w:p w14:paraId="231F4A64">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p>
    <w:p w14:paraId="4E8161C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图5-6 折叠连接件结构图</w:t>
      </w:r>
    </w:p>
    <w:p w14:paraId="3711080E">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0391A97C">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1.5.7各冲压成型件应规整、边缘不得有毛刺。</w:t>
      </w:r>
    </w:p>
    <w:p w14:paraId="34C053B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1.6理化性能</w:t>
      </w:r>
    </w:p>
    <w:p w14:paraId="249829C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rPr>
          <w:color w:val="auto"/>
        </w:rPr>
      </w:pPr>
      <w:r>
        <w:rPr>
          <w:rFonts w:hint="eastAsia" w:ascii="宋体" w:hAnsi="宋体" w:eastAsia="宋体" w:cs="宋体"/>
          <w:sz w:val="28"/>
          <w:szCs w:val="28"/>
        </w:rPr>
        <w:t>1.</w:t>
      </w:r>
      <w:r>
        <w:rPr>
          <w:rFonts w:hint="eastAsia" w:ascii="宋体" w:hAnsi="宋体" w:eastAsia="宋体" w:cs="宋体"/>
          <w:color w:val="auto"/>
          <w:sz w:val="28"/>
          <w:szCs w:val="28"/>
        </w:rPr>
        <w:t>6.1面料规格及性能指标应符合附录B的规定。</w:t>
      </w:r>
    </w:p>
    <w:p w14:paraId="4F1D4F7C">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color w:val="auto"/>
          <w:sz w:val="28"/>
          <w:szCs w:val="28"/>
        </w:rPr>
        <w:t>1.6.2配件的理化性能见表2。</w:t>
      </w:r>
    </w:p>
    <w:p w14:paraId="7C06EBA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1.6.3各种线带断裂强力应符合表1的规定。</w:t>
      </w:r>
    </w:p>
    <w:p w14:paraId="5C61973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6"/>
        <w:textAlignment w:val="auto"/>
      </w:pPr>
      <w:r>
        <w:rPr>
          <w:rFonts w:hint="eastAsia" w:ascii="宋体" w:hAnsi="宋体" w:eastAsia="宋体" w:cs="宋体"/>
          <w:sz w:val="28"/>
          <w:szCs w:val="28"/>
        </w:rPr>
        <w:t>1.6.4锦丝搭扣带性能指标应符合表1的规定。</w:t>
      </w:r>
    </w:p>
    <w:p w14:paraId="5B567D0B">
      <w:pPr>
        <w:pStyle w:val="5"/>
        <w:keepNext w:val="0"/>
        <w:keepLines w:val="0"/>
        <w:widowControl/>
        <w:suppressLineNumbers w:val="0"/>
        <w:spacing w:before="0" w:beforeAutospacing="0" w:after="0" w:afterAutospacing="0"/>
        <w:ind w:left="0" w:right="0"/>
        <w:rPr>
          <w:color w:val="auto"/>
        </w:rPr>
      </w:pPr>
      <w:r>
        <w:rPr>
          <w:rFonts w:hint="eastAsia" w:ascii="宋体" w:hAnsi="宋体" w:eastAsia="宋体" w:cs="宋体"/>
          <w:color w:val="auto"/>
          <w:sz w:val="21"/>
          <w:szCs w:val="21"/>
        </w:rPr>
        <w:t>表</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配件理化性能</w:t>
      </w:r>
    </w:p>
    <w:tbl>
      <w:tblPr>
        <w:tblStyle w:val="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520"/>
        <w:gridCol w:w="2220"/>
        <w:gridCol w:w="3975"/>
      </w:tblGrid>
      <w:tr w14:paraId="5146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70" w:hRule="atLeast"/>
        </w:trPr>
        <w:tc>
          <w:tcPr>
            <w:tcW w:w="2520" w:type="dxa"/>
            <w:tcBorders>
              <w:tl2br w:val="nil"/>
              <w:tr2bl w:val="nil"/>
            </w:tcBorders>
            <w:shd w:val="clear" w:color="auto" w:fill="auto"/>
            <w:tcMar>
              <w:top w:w="0" w:type="dxa"/>
              <w:left w:w="105" w:type="dxa"/>
              <w:bottom w:w="0" w:type="dxa"/>
              <w:right w:w="105" w:type="dxa"/>
            </w:tcMar>
            <w:vAlign w:val="center"/>
          </w:tcPr>
          <w:p w14:paraId="49DB0D10">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部件名 称</w:t>
            </w:r>
          </w:p>
        </w:tc>
        <w:tc>
          <w:tcPr>
            <w:tcW w:w="2220" w:type="dxa"/>
            <w:tcBorders>
              <w:tl2br w:val="nil"/>
              <w:tr2bl w:val="nil"/>
            </w:tcBorders>
            <w:shd w:val="clear" w:color="auto" w:fill="auto"/>
            <w:tcMar>
              <w:top w:w="0" w:type="dxa"/>
              <w:left w:w="105" w:type="dxa"/>
              <w:bottom w:w="0" w:type="dxa"/>
              <w:right w:w="105" w:type="dxa"/>
            </w:tcMar>
            <w:vAlign w:val="center"/>
          </w:tcPr>
          <w:p w14:paraId="50A8C68F">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项目</w:t>
            </w:r>
          </w:p>
        </w:tc>
        <w:tc>
          <w:tcPr>
            <w:tcW w:w="3975" w:type="dxa"/>
            <w:tcBorders>
              <w:tl2br w:val="nil"/>
              <w:tr2bl w:val="nil"/>
            </w:tcBorders>
            <w:shd w:val="clear" w:color="auto" w:fill="auto"/>
            <w:tcMar>
              <w:top w:w="0" w:type="dxa"/>
              <w:left w:w="105" w:type="dxa"/>
              <w:bottom w:w="0" w:type="dxa"/>
              <w:right w:w="105" w:type="dxa"/>
            </w:tcMar>
            <w:vAlign w:val="center"/>
          </w:tcPr>
          <w:p w14:paraId="4196F089">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指标</w:t>
            </w:r>
          </w:p>
        </w:tc>
      </w:tr>
      <w:tr w14:paraId="4E2E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trPr>
        <w:tc>
          <w:tcPr>
            <w:tcW w:w="2520" w:type="dxa"/>
            <w:vMerge w:val="restart"/>
            <w:tcBorders>
              <w:tl2br w:val="nil"/>
              <w:tr2bl w:val="nil"/>
            </w:tcBorders>
            <w:shd w:val="clear" w:color="auto" w:fill="auto"/>
            <w:tcMar>
              <w:top w:w="0" w:type="dxa"/>
              <w:left w:w="105" w:type="dxa"/>
              <w:bottom w:w="0" w:type="dxa"/>
              <w:right w:w="105" w:type="dxa"/>
            </w:tcMar>
            <w:vAlign w:val="center"/>
          </w:tcPr>
          <w:p w14:paraId="4ABA1A2F">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喷塑件</w:t>
            </w:r>
          </w:p>
        </w:tc>
        <w:tc>
          <w:tcPr>
            <w:tcW w:w="2220" w:type="dxa"/>
            <w:tcBorders>
              <w:tl2br w:val="nil"/>
              <w:tr2bl w:val="nil"/>
            </w:tcBorders>
            <w:shd w:val="clear" w:color="auto" w:fill="auto"/>
            <w:tcMar>
              <w:top w:w="0" w:type="dxa"/>
              <w:left w:w="105" w:type="dxa"/>
              <w:bottom w:w="0" w:type="dxa"/>
              <w:right w:w="105" w:type="dxa"/>
            </w:tcMar>
            <w:vAlign w:val="center"/>
          </w:tcPr>
          <w:p w14:paraId="08F19FB5">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喷塑漆膜厚度，μm</w:t>
            </w:r>
          </w:p>
        </w:tc>
        <w:tc>
          <w:tcPr>
            <w:tcW w:w="3975" w:type="dxa"/>
            <w:tcBorders>
              <w:tl2br w:val="nil"/>
              <w:tr2bl w:val="nil"/>
            </w:tcBorders>
            <w:shd w:val="clear" w:color="auto" w:fill="auto"/>
            <w:tcMar>
              <w:top w:w="0" w:type="dxa"/>
              <w:left w:w="105" w:type="dxa"/>
              <w:bottom w:w="0" w:type="dxa"/>
              <w:right w:w="105" w:type="dxa"/>
            </w:tcMar>
            <w:vAlign w:val="center"/>
          </w:tcPr>
          <w:p w14:paraId="65BC8FB0">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≥35</w:t>
            </w:r>
          </w:p>
        </w:tc>
      </w:tr>
      <w:tr w14:paraId="2BF7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trPr>
        <w:tc>
          <w:tcPr>
            <w:tcW w:w="2520" w:type="dxa"/>
            <w:vMerge w:val="continue"/>
            <w:tcBorders>
              <w:tl2br w:val="nil"/>
              <w:tr2bl w:val="nil"/>
            </w:tcBorders>
            <w:shd w:val="clear" w:color="auto" w:fill="auto"/>
            <w:tcMar>
              <w:top w:w="0" w:type="dxa"/>
              <w:left w:w="105" w:type="dxa"/>
              <w:bottom w:w="0" w:type="dxa"/>
              <w:right w:w="105" w:type="dxa"/>
            </w:tcMar>
            <w:vAlign w:val="center"/>
          </w:tcPr>
          <w:p w14:paraId="06E4C546">
            <w:pPr>
              <w:rPr>
                <w:rFonts w:hint="eastAsia" w:ascii="宋体"/>
                <w:sz w:val="24"/>
                <w:szCs w:val="24"/>
              </w:rPr>
            </w:pPr>
          </w:p>
        </w:tc>
        <w:tc>
          <w:tcPr>
            <w:tcW w:w="2220" w:type="dxa"/>
            <w:tcBorders>
              <w:tl2br w:val="nil"/>
              <w:tr2bl w:val="nil"/>
            </w:tcBorders>
            <w:shd w:val="clear" w:color="auto" w:fill="auto"/>
            <w:tcMar>
              <w:top w:w="0" w:type="dxa"/>
              <w:left w:w="105" w:type="dxa"/>
              <w:bottom w:w="0" w:type="dxa"/>
              <w:right w:w="105" w:type="dxa"/>
            </w:tcMar>
            <w:vAlign w:val="center"/>
          </w:tcPr>
          <w:p w14:paraId="7F555D44">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喷塑漆膜耐腐蚀</w:t>
            </w:r>
          </w:p>
        </w:tc>
        <w:tc>
          <w:tcPr>
            <w:tcW w:w="3975" w:type="dxa"/>
            <w:tcBorders>
              <w:tl2br w:val="nil"/>
              <w:tr2bl w:val="nil"/>
            </w:tcBorders>
            <w:shd w:val="clear" w:color="auto" w:fill="auto"/>
            <w:tcMar>
              <w:top w:w="0" w:type="dxa"/>
              <w:left w:w="105" w:type="dxa"/>
              <w:bottom w:w="0" w:type="dxa"/>
              <w:right w:w="105" w:type="dxa"/>
            </w:tcMar>
            <w:vAlign w:val="center"/>
          </w:tcPr>
          <w:p w14:paraId="3593C590">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96h膜层不起泡、不脱落，无锈斑</w:t>
            </w:r>
          </w:p>
        </w:tc>
      </w:tr>
      <w:tr w14:paraId="1E18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trPr>
        <w:tc>
          <w:tcPr>
            <w:tcW w:w="2520" w:type="dxa"/>
            <w:vMerge w:val="restart"/>
            <w:tcBorders>
              <w:tl2br w:val="nil"/>
              <w:tr2bl w:val="nil"/>
            </w:tcBorders>
            <w:shd w:val="clear" w:color="auto" w:fill="auto"/>
            <w:tcMar>
              <w:top w:w="0" w:type="dxa"/>
              <w:left w:w="105" w:type="dxa"/>
              <w:bottom w:w="0" w:type="dxa"/>
              <w:right w:w="105" w:type="dxa"/>
            </w:tcMar>
            <w:vAlign w:val="center"/>
          </w:tcPr>
          <w:p w14:paraId="25F7D5C1">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电镀锌配件</w:t>
            </w:r>
          </w:p>
        </w:tc>
        <w:tc>
          <w:tcPr>
            <w:tcW w:w="2220" w:type="dxa"/>
            <w:tcBorders>
              <w:tl2br w:val="nil"/>
              <w:tr2bl w:val="nil"/>
            </w:tcBorders>
            <w:shd w:val="clear" w:color="auto" w:fill="auto"/>
            <w:tcMar>
              <w:top w:w="0" w:type="dxa"/>
              <w:left w:w="105" w:type="dxa"/>
              <w:bottom w:w="0" w:type="dxa"/>
              <w:right w:w="105" w:type="dxa"/>
            </w:tcMar>
            <w:vAlign w:val="center"/>
          </w:tcPr>
          <w:p w14:paraId="1D17D40A">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锌镀层厚度，μm</w:t>
            </w:r>
          </w:p>
        </w:tc>
        <w:tc>
          <w:tcPr>
            <w:tcW w:w="3975" w:type="dxa"/>
            <w:tcBorders>
              <w:tl2br w:val="nil"/>
              <w:tr2bl w:val="nil"/>
            </w:tcBorders>
            <w:shd w:val="clear" w:color="auto" w:fill="auto"/>
            <w:tcMar>
              <w:top w:w="0" w:type="dxa"/>
              <w:left w:w="105" w:type="dxa"/>
              <w:bottom w:w="0" w:type="dxa"/>
              <w:right w:w="105" w:type="dxa"/>
            </w:tcMar>
            <w:vAlign w:val="center"/>
          </w:tcPr>
          <w:p w14:paraId="111063CC">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≥15</w:t>
            </w:r>
          </w:p>
        </w:tc>
      </w:tr>
      <w:tr w14:paraId="109A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70" w:hRule="atLeast"/>
        </w:trPr>
        <w:tc>
          <w:tcPr>
            <w:tcW w:w="2520" w:type="dxa"/>
            <w:vMerge w:val="continue"/>
            <w:tcBorders>
              <w:tl2br w:val="nil"/>
              <w:tr2bl w:val="nil"/>
            </w:tcBorders>
            <w:shd w:val="clear" w:color="auto" w:fill="auto"/>
            <w:tcMar>
              <w:top w:w="0" w:type="dxa"/>
              <w:left w:w="105" w:type="dxa"/>
              <w:bottom w:w="0" w:type="dxa"/>
              <w:right w:w="105" w:type="dxa"/>
            </w:tcMar>
            <w:vAlign w:val="center"/>
          </w:tcPr>
          <w:p w14:paraId="19A71788">
            <w:pPr>
              <w:rPr>
                <w:rFonts w:hint="eastAsia" w:ascii="宋体"/>
                <w:sz w:val="24"/>
                <w:szCs w:val="24"/>
              </w:rPr>
            </w:pPr>
          </w:p>
        </w:tc>
        <w:tc>
          <w:tcPr>
            <w:tcW w:w="2220" w:type="dxa"/>
            <w:tcBorders>
              <w:tl2br w:val="nil"/>
              <w:tr2bl w:val="nil"/>
            </w:tcBorders>
            <w:shd w:val="clear" w:color="auto" w:fill="auto"/>
            <w:tcMar>
              <w:top w:w="0" w:type="dxa"/>
              <w:left w:w="105" w:type="dxa"/>
              <w:bottom w:w="0" w:type="dxa"/>
              <w:right w:w="105" w:type="dxa"/>
            </w:tcMar>
            <w:vAlign w:val="center"/>
          </w:tcPr>
          <w:p w14:paraId="2DE3B443">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锌镀层耐腐蚀</w:t>
            </w:r>
          </w:p>
        </w:tc>
        <w:tc>
          <w:tcPr>
            <w:tcW w:w="3975" w:type="dxa"/>
            <w:tcBorders>
              <w:tl2br w:val="nil"/>
              <w:tr2bl w:val="nil"/>
            </w:tcBorders>
            <w:shd w:val="clear" w:color="auto" w:fill="auto"/>
            <w:tcMar>
              <w:top w:w="0" w:type="dxa"/>
              <w:left w:w="105" w:type="dxa"/>
              <w:bottom w:w="0" w:type="dxa"/>
              <w:right w:w="105" w:type="dxa"/>
            </w:tcMar>
            <w:vAlign w:val="center"/>
          </w:tcPr>
          <w:p w14:paraId="2809D25E">
            <w:pPr>
              <w:pStyle w:val="5"/>
              <w:keepNext w:val="0"/>
              <w:keepLines w:val="0"/>
              <w:widowControl/>
              <w:suppressLineNumbers w:val="0"/>
              <w:spacing w:before="0" w:beforeAutospacing="0" w:after="150" w:afterAutospacing="0" w:line="240" w:lineRule="atLeast"/>
              <w:ind w:left="0" w:right="0"/>
              <w:jc w:val="center"/>
            </w:pPr>
            <w:r>
              <w:rPr>
                <w:rFonts w:hint="eastAsia" w:ascii="宋体" w:hAnsi="宋体" w:eastAsia="宋体" w:cs="宋体"/>
                <w:sz w:val="21"/>
                <w:szCs w:val="21"/>
              </w:rPr>
              <w:t>48h主要表面无锈斑</w:t>
            </w:r>
          </w:p>
        </w:tc>
      </w:tr>
    </w:tbl>
    <w:p w14:paraId="4C8233F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5"/>
        <w:textAlignment w:val="auto"/>
      </w:pPr>
      <w:r>
        <w:rPr>
          <w:rFonts w:hint="eastAsia" w:ascii="宋体" w:hAnsi="宋体" w:eastAsia="宋体" w:cs="宋体"/>
          <w:sz w:val="28"/>
          <w:szCs w:val="28"/>
        </w:rPr>
        <w:t>1.7组装</w:t>
      </w:r>
    </w:p>
    <w:p w14:paraId="3AAEFC1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firstLine="555"/>
        <w:textAlignment w:val="auto"/>
      </w:pPr>
      <w:r>
        <w:rPr>
          <w:rFonts w:hint="eastAsia" w:ascii="宋体" w:hAnsi="宋体" w:eastAsia="宋体" w:cs="宋体"/>
          <w:sz w:val="28"/>
          <w:szCs w:val="28"/>
        </w:rPr>
        <w:t>1.7.1在床头装海绵枕一个用搭扣带扣合。</w:t>
      </w:r>
    </w:p>
    <w:p w14:paraId="62455085">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60" w:lineRule="exact"/>
        <w:ind w:left="0" w:right="0"/>
        <w:textAlignment w:val="auto"/>
      </w:pPr>
      <w:r>
        <w:rPr>
          <w:rFonts w:hint="eastAsia" w:ascii="宋体" w:hAnsi="宋体" w:eastAsia="宋体" w:cs="宋体"/>
          <w:sz w:val="28"/>
          <w:szCs w:val="28"/>
        </w:rPr>
        <w:t>    1.7.2在床头面的贴袋内装塑料板一块，装入后用搭扣带扣合。塑料板贴袋盖上缝纫用白色涤纶水洗布印刷的使用说明，见图7。</w:t>
      </w:r>
    </w:p>
    <w:p w14:paraId="2C49BB4E">
      <w:pPr>
        <w:pStyle w:val="5"/>
        <w:keepNext w:val="0"/>
        <w:keepLines w:val="0"/>
        <w:widowControl/>
        <w:suppressLineNumbers w:val="0"/>
        <w:spacing w:before="0" w:beforeAutospacing="0" w:after="150" w:afterAutospacing="0"/>
        <w:ind w:left="0" w:right="0"/>
      </w:pPr>
      <w:r>
        <w:drawing>
          <wp:inline distT="0" distB="0" distL="114300" distR="114300">
            <wp:extent cx="5953125" cy="2924175"/>
            <wp:effectExtent l="0" t="0" r="9525" b="9525"/>
            <wp:docPr id="20" name="图片 20" descr="156214503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62145030238.png"/>
                    <pic:cNvPicPr>
                      <a:picLocks noChangeAspect="1"/>
                    </pic:cNvPicPr>
                  </pic:nvPicPr>
                  <pic:blipFill>
                    <a:blip r:embed="rId17"/>
                    <a:stretch>
                      <a:fillRect/>
                    </a:stretch>
                  </pic:blipFill>
                  <pic:spPr>
                    <a:xfrm>
                      <a:off x="0" y="0"/>
                      <a:ext cx="5953125" cy="2924175"/>
                    </a:xfrm>
                    <a:prstGeom prst="rect">
                      <a:avLst/>
                    </a:prstGeom>
                    <a:noFill/>
                    <a:ln w="9525">
                      <a:noFill/>
                    </a:ln>
                  </pic:spPr>
                </pic:pic>
              </a:graphicData>
            </a:graphic>
          </wp:inline>
        </w:drawing>
      </w:r>
    </w:p>
    <w:p w14:paraId="5379A96D">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rPr>
      </w:pPr>
    </w:p>
    <w:p w14:paraId="2120AB66">
      <w:pPr>
        <w:pStyle w:val="5"/>
        <w:keepNext w:val="0"/>
        <w:keepLines w:val="0"/>
        <w:widowControl/>
        <w:suppressLineNumbers w:val="0"/>
        <w:spacing w:before="0" w:beforeAutospacing="0" w:after="150" w:afterAutospacing="0" w:line="555" w:lineRule="atLeast"/>
        <w:ind w:left="0" w:right="0" w:firstLine="555"/>
      </w:pPr>
      <w:r>
        <w:rPr>
          <w:rFonts w:hint="eastAsia" w:ascii="黑体" w:hAnsi="宋体" w:eastAsia="黑体" w:cs="黑体"/>
          <w:sz w:val="28"/>
          <w:szCs w:val="28"/>
        </w:rPr>
        <w:t>附录A 样式结构</w:t>
      </w:r>
    </w:p>
    <w:p w14:paraId="183EF3F0">
      <w:pPr>
        <w:pStyle w:val="5"/>
        <w:keepNext w:val="0"/>
        <w:keepLines w:val="0"/>
        <w:widowControl/>
        <w:suppressLineNumbers w:val="0"/>
        <w:spacing w:before="0" w:beforeAutospacing="0" w:after="150" w:afterAutospacing="0" w:line="555" w:lineRule="atLeast"/>
        <w:ind w:left="0" w:right="0" w:firstLine="555"/>
        <w:textAlignment w:val="baseline"/>
      </w:pPr>
      <w:r>
        <w:rPr>
          <w:rFonts w:hint="eastAsia" w:ascii="宋体" w:hAnsi="宋体" w:eastAsia="宋体" w:cs="宋体"/>
          <w:sz w:val="28"/>
          <w:szCs w:val="28"/>
          <w:vertAlign w:val="baseline"/>
        </w:rPr>
        <w:t>A.1展开样式结构</w:t>
      </w:r>
    </w:p>
    <w:p w14:paraId="69052870">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救灾专用折叠床展开样式结构见图A.1。</w:t>
      </w:r>
    </w:p>
    <w:p w14:paraId="65C12C83">
      <w:pPr>
        <w:pStyle w:val="5"/>
        <w:keepNext w:val="0"/>
        <w:keepLines w:val="0"/>
        <w:widowControl/>
        <w:suppressLineNumbers w:val="0"/>
        <w:spacing w:before="0" w:beforeAutospacing="0" w:after="150" w:afterAutospacing="0"/>
        <w:ind w:left="0" w:right="0"/>
      </w:pPr>
      <w:r>
        <w:drawing>
          <wp:inline distT="0" distB="0" distL="114300" distR="114300">
            <wp:extent cx="5833110" cy="2028825"/>
            <wp:effectExtent l="0" t="0" r="15240" b="9525"/>
            <wp:docPr id="21" name="图片 21" descr="156214520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62145204801.png"/>
                    <pic:cNvPicPr>
                      <a:picLocks noChangeAspect="1"/>
                    </pic:cNvPicPr>
                  </pic:nvPicPr>
                  <pic:blipFill>
                    <a:blip r:embed="rId18"/>
                    <a:stretch>
                      <a:fillRect/>
                    </a:stretch>
                  </pic:blipFill>
                  <pic:spPr>
                    <a:xfrm>
                      <a:off x="0" y="0"/>
                      <a:ext cx="5833110" cy="2028825"/>
                    </a:xfrm>
                    <a:prstGeom prst="rect">
                      <a:avLst/>
                    </a:prstGeom>
                    <a:noFill/>
                    <a:ln w="9525">
                      <a:noFill/>
                    </a:ln>
                  </pic:spPr>
                </pic:pic>
              </a:graphicData>
            </a:graphic>
          </wp:inline>
        </w:drawing>
      </w:r>
    </w:p>
    <w:p w14:paraId="4ED7956C">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t>图A.1  展开样式结构</w:t>
      </w:r>
    </w:p>
    <w:p w14:paraId="215B91FE">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5FEA00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264CF9E">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48F4A9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01071B1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248E7F40">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6D0E6791">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09A15512">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D4494D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0333D4F1">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BDC5438">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366842C">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C8B56E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29E3F0A0">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85CD31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3BC0164">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63AE4FE">
      <w:pPr>
        <w:pStyle w:val="5"/>
        <w:keepNext w:val="0"/>
        <w:keepLines w:val="0"/>
        <w:widowControl/>
        <w:suppressLineNumbers w:val="0"/>
        <w:spacing w:before="0" w:beforeAutospacing="0" w:after="150" w:afterAutospacing="0" w:line="600" w:lineRule="atLeast"/>
        <w:ind w:left="0" w:right="0"/>
        <w:textAlignment w:val="baseline"/>
      </w:pPr>
      <w:r>
        <w:rPr>
          <w:rFonts w:hint="eastAsia" w:ascii="宋体" w:hAnsi="宋体" w:eastAsia="宋体" w:cs="宋体"/>
          <w:sz w:val="28"/>
          <w:szCs w:val="28"/>
          <w:vertAlign w:val="baseline"/>
        </w:rPr>
        <w:t>    A.2折合样式结构</w:t>
      </w:r>
    </w:p>
    <w:p w14:paraId="70FBAA01">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救灾专用折叠床折合样式结构见图A.2。</w:t>
      </w:r>
    </w:p>
    <w:p w14:paraId="145CFE38">
      <w:pPr>
        <w:pStyle w:val="5"/>
        <w:keepNext w:val="0"/>
        <w:keepLines w:val="0"/>
        <w:widowControl/>
        <w:suppressLineNumbers w:val="0"/>
        <w:spacing w:before="0" w:beforeAutospacing="0" w:after="150" w:afterAutospacing="0"/>
        <w:ind w:left="0" w:right="0"/>
      </w:pPr>
      <w:r>
        <w:drawing>
          <wp:inline distT="0" distB="0" distL="114300" distR="114300">
            <wp:extent cx="2771775" cy="3924300"/>
            <wp:effectExtent l="0" t="0" r="9525" b="0"/>
            <wp:docPr id="22" name="图片 22" descr="1562145292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62145292609.png"/>
                    <pic:cNvPicPr>
                      <a:picLocks noChangeAspect="1"/>
                    </pic:cNvPicPr>
                  </pic:nvPicPr>
                  <pic:blipFill>
                    <a:blip r:embed="rId19"/>
                    <a:stretch>
                      <a:fillRect/>
                    </a:stretch>
                  </pic:blipFill>
                  <pic:spPr>
                    <a:xfrm>
                      <a:off x="0" y="0"/>
                      <a:ext cx="2771775" cy="3924300"/>
                    </a:xfrm>
                    <a:prstGeom prst="rect">
                      <a:avLst/>
                    </a:prstGeom>
                    <a:noFill/>
                    <a:ln w="9525">
                      <a:noFill/>
                    </a:ln>
                  </pic:spPr>
                </pic:pic>
              </a:graphicData>
            </a:graphic>
          </wp:inline>
        </w:drawing>
      </w:r>
      <w:r>
        <w:drawing>
          <wp:inline distT="0" distB="0" distL="114300" distR="114300">
            <wp:extent cx="1485900" cy="5010150"/>
            <wp:effectExtent l="0" t="0" r="0" b="0"/>
            <wp:docPr id="23" name="图片 23" descr="15621452978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62145297829.png"/>
                    <pic:cNvPicPr>
                      <a:picLocks noChangeAspect="1"/>
                    </pic:cNvPicPr>
                  </pic:nvPicPr>
                  <pic:blipFill>
                    <a:blip r:embed="rId20"/>
                    <a:stretch>
                      <a:fillRect/>
                    </a:stretch>
                  </pic:blipFill>
                  <pic:spPr>
                    <a:xfrm>
                      <a:off x="0" y="0"/>
                      <a:ext cx="1485900" cy="5010150"/>
                    </a:xfrm>
                    <a:prstGeom prst="rect">
                      <a:avLst/>
                    </a:prstGeom>
                    <a:noFill/>
                    <a:ln w="9525">
                      <a:noFill/>
                    </a:ln>
                  </pic:spPr>
                </pic:pic>
              </a:graphicData>
            </a:graphic>
          </wp:inline>
        </w:drawing>
      </w:r>
    </w:p>
    <w:p w14:paraId="659F84F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图A.2  折合样式结构</w:t>
      </w:r>
    </w:p>
    <w:p w14:paraId="25F13AA4">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2355155B">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71CFDF9D">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34B714B8">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1CE9785A">
      <w:pPr>
        <w:pStyle w:val="5"/>
        <w:keepNext w:val="0"/>
        <w:keepLines w:val="0"/>
        <w:widowControl/>
        <w:suppressLineNumbers w:val="0"/>
        <w:spacing w:before="0" w:beforeAutospacing="0" w:after="150" w:afterAutospacing="0" w:line="360" w:lineRule="atLeast"/>
        <w:ind w:left="0" w:right="0" w:firstLine="555"/>
        <w:rPr>
          <w:rFonts w:hint="eastAsia" w:ascii="黑体" w:hAnsi="宋体" w:eastAsia="黑体" w:cs="黑体"/>
          <w:sz w:val="28"/>
          <w:szCs w:val="28"/>
        </w:rPr>
      </w:pPr>
    </w:p>
    <w:p w14:paraId="35D188DD">
      <w:pPr>
        <w:pStyle w:val="5"/>
        <w:keepNext w:val="0"/>
        <w:keepLines w:val="0"/>
        <w:widowControl/>
        <w:suppressLineNumbers w:val="0"/>
        <w:spacing w:before="0" w:beforeAutospacing="0" w:after="150" w:afterAutospacing="0" w:line="360" w:lineRule="atLeast"/>
        <w:ind w:left="0" w:right="0" w:firstLine="555"/>
      </w:pPr>
      <w:r>
        <w:rPr>
          <w:rFonts w:hint="eastAsia" w:ascii="黑体" w:hAnsi="宋体" w:eastAsia="黑体" w:cs="黑体"/>
          <w:sz w:val="28"/>
          <w:szCs w:val="28"/>
        </w:rPr>
        <w:t>附录B </w:t>
      </w:r>
      <w:r>
        <w:rPr>
          <w:rFonts w:hint="eastAsia" w:ascii="宋体" w:hAnsi="宋体" w:eastAsia="宋体" w:cs="宋体"/>
          <w:sz w:val="28"/>
          <w:szCs w:val="28"/>
        </w:rPr>
        <w:t> </w:t>
      </w:r>
      <w:r>
        <w:rPr>
          <w:rFonts w:hint="eastAsia" w:ascii="黑体" w:hAnsi="宋体" w:eastAsia="黑体" w:cs="黑体"/>
          <w:sz w:val="28"/>
          <w:szCs w:val="28"/>
        </w:rPr>
        <w:t>PVC涂层布技术要求</w:t>
      </w:r>
    </w:p>
    <w:p w14:paraId="4B70D27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textAlignment w:val="baseline"/>
      </w:pPr>
      <w:r>
        <w:rPr>
          <w:rFonts w:hint="eastAsia" w:ascii="宋体" w:hAnsi="宋体" w:eastAsia="宋体" w:cs="宋体"/>
          <w:sz w:val="28"/>
          <w:szCs w:val="28"/>
          <w:vertAlign w:val="baseline"/>
        </w:rPr>
        <w:t>B.1颜色及涂覆方式</w:t>
      </w:r>
    </w:p>
    <w:p w14:paraId="49855B5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textAlignment w:val="baseline"/>
      </w:pPr>
      <w:r>
        <w:rPr>
          <w:rFonts w:hint="eastAsia" w:ascii="宋体" w:hAnsi="宋体" w:eastAsia="宋体" w:cs="宋体"/>
          <w:sz w:val="28"/>
          <w:szCs w:val="28"/>
          <w:vertAlign w:val="baseline"/>
        </w:rPr>
        <w:t>PVC涂层布为天蓝色PANTONG 19—4049；单面涂覆PVC织物。</w:t>
      </w:r>
    </w:p>
    <w:p w14:paraId="00C2FAF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textAlignment w:val="baseline"/>
      </w:pPr>
      <w:r>
        <w:rPr>
          <w:rFonts w:hint="eastAsia" w:ascii="宋体" w:hAnsi="宋体" w:eastAsia="宋体" w:cs="宋体"/>
          <w:sz w:val="28"/>
          <w:szCs w:val="28"/>
          <w:vertAlign w:val="baseline"/>
        </w:rPr>
        <w:t>B.2织物规格</w:t>
      </w:r>
    </w:p>
    <w:p w14:paraId="53AB3FB8">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firstLine="556"/>
      </w:pPr>
      <w:r>
        <w:rPr>
          <w:rFonts w:hint="eastAsia" w:ascii="宋体" w:hAnsi="宋体" w:eastAsia="宋体" w:cs="宋体"/>
          <w:sz w:val="28"/>
          <w:szCs w:val="28"/>
        </w:rPr>
        <w:t>织物规格见表B.1。</w:t>
      </w:r>
      <w:r>
        <w:rPr>
          <w:rFonts w:hint="eastAsia" w:ascii="宋体" w:hAnsi="宋体" w:eastAsia="宋体" w:cs="宋体"/>
          <w:sz w:val="28"/>
          <w:szCs w:val="28"/>
        </w:rPr>
        <w:br w:type="textWrapping"/>
      </w:r>
      <w:r>
        <w:rPr>
          <w:rFonts w:hint="eastAsia" w:ascii="宋体" w:hAnsi="宋体" w:eastAsia="宋体" w:cs="宋体"/>
          <w:sz w:val="28"/>
          <w:szCs w:val="28"/>
        </w:rPr>
        <w:t>  </w:t>
      </w:r>
      <w:r>
        <w:rPr>
          <w:rFonts w:hint="eastAsia" w:ascii="宋体" w:hAnsi="宋体" w:eastAsia="宋体" w:cs="宋体"/>
          <w:sz w:val="21"/>
          <w:szCs w:val="21"/>
        </w:rPr>
        <w:t>表B.1  织物规格</w:t>
      </w:r>
    </w:p>
    <w:tbl>
      <w:tblPr>
        <w:tblStyle w:val="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190"/>
        <w:gridCol w:w="2175"/>
        <w:gridCol w:w="4350"/>
      </w:tblGrid>
      <w:tr w14:paraId="11CC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195" w:hRule="atLeast"/>
        </w:trPr>
        <w:tc>
          <w:tcPr>
            <w:tcW w:w="4365" w:type="dxa"/>
            <w:gridSpan w:val="2"/>
            <w:tcBorders>
              <w:tl2br w:val="nil"/>
              <w:tr2bl w:val="nil"/>
            </w:tcBorders>
            <w:shd w:val="clear" w:color="auto" w:fill="auto"/>
            <w:tcMar>
              <w:top w:w="0" w:type="dxa"/>
              <w:left w:w="105" w:type="dxa"/>
              <w:bottom w:w="0" w:type="dxa"/>
              <w:right w:w="105" w:type="dxa"/>
            </w:tcMar>
            <w:vAlign w:val="center"/>
          </w:tcPr>
          <w:p w14:paraId="1A052CAE">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项目</w:t>
            </w:r>
          </w:p>
        </w:tc>
        <w:tc>
          <w:tcPr>
            <w:tcW w:w="4350" w:type="dxa"/>
            <w:tcBorders>
              <w:tl2br w:val="nil"/>
              <w:tr2bl w:val="nil"/>
            </w:tcBorders>
            <w:shd w:val="clear" w:color="auto" w:fill="auto"/>
            <w:tcMar>
              <w:top w:w="0" w:type="dxa"/>
              <w:left w:w="105" w:type="dxa"/>
              <w:bottom w:w="0" w:type="dxa"/>
              <w:right w:w="105" w:type="dxa"/>
            </w:tcMar>
            <w:vAlign w:val="center"/>
          </w:tcPr>
          <w:p w14:paraId="564E172A">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规格</w:t>
            </w:r>
          </w:p>
        </w:tc>
      </w:tr>
      <w:tr w14:paraId="5BC7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4365" w:type="dxa"/>
            <w:gridSpan w:val="2"/>
            <w:tcBorders>
              <w:tl2br w:val="nil"/>
              <w:tr2bl w:val="nil"/>
            </w:tcBorders>
            <w:shd w:val="clear" w:color="auto" w:fill="auto"/>
            <w:tcMar>
              <w:top w:w="0" w:type="dxa"/>
              <w:left w:w="105" w:type="dxa"/>
              <w:bottom w:w="0" w:type="dxa"/>
              <w:right w:w="105" w:type="dxa"/>
            </w:tcMar>
            <w:vAlign w:val="top"/>
          </w:tcPr>
          <w:p w14:paraId="39DF6CB7">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纤维材质</w:t>
            </w:r>
          </w:p>
        </w:tc>
        <w:tc>
          <w:tcPr>
            <w:tcW w:w="4350" w:type="dxa"/>
            <w:tcBorders>
              <w:tl2br w:val="nil"/>
              <w:tr2bl w:val="nil"/>
            </w:tcBorders>
            <w:shd w:val="clear" w:color="auto" w:fill="auto"/>
            <w:tcMar>
              <w:top w:w="0" w:type="dxa"/>
              <w:left w:w="105" w:type="dxa"/>
              <w:bottom w:w="0" w:type="dxa"/>
              <w:right w:w="105" w:type="dxa"/>
            </w:tcMar>
            <w:vAlign w:val="top"/>
          </w:tcPr>
          <w:p w14:paraId="343D29A8">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100%涤纶</w:t>
            </w:r>
          </w:p>
        </w:tc>
      </w:tr>
      <w:tr w14:paraId="0147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0" w:hRule="atLeast"/>
        </w:trPr>
        <w:tc>
          <w:tcPr>
            <w:tcW w:w="2190" w:type="dxa"/>
            <w:vMerge w:val="restart"/>
            <w:tcBorders>
              <w:tl2br w:val="nil"/>
              <w:tr2bl w:val="nil"/>
            </w:tcBorders>
            <w:shd w:val="clear" w:color="auto" w:fill="auto"/>
            <w:tcMar>
              <w:top w:w="0" w:type="dxa"/>
              <w:left w:w="105" w:type="dxa"/>
              <w:bottom w:w="0" w:type="dxa"/>
              <w:right w:w="105" w:type="dxa"/>
            </w:tcMar>
            <w:vAlign w:val="center"/>
          </w:tcPr>
          <w:p w14:paraId="19A4A6FA">
            <w:pPr>
              <w:pStyle w:val="5"/>
              <w:keepNext w:val="0"/>
              <w:keepLines w:val="0"/>
              <w:widowControl/>
              <w:suppressLineNumbers w:val="0"/>
              <w:spacing w:before="0" w:beforeAutospacing="0" w:after="150" w:afterAutospacing="0" w:line="405" w:lineRule="atLeast"/>
              <w:ind w:left="0" w:right="0" w:firstLine="420"/>
              <w:jc w:val="center"/>
            </w:pPr>
            <w:r>
              <w:rPr>
                <w:rFonts w:hint="eastAsia" w:ascii="宋体" w:hAnsi="宋体" w:eastAsia="宋体" w:cs="宋体"/>
                <w:sz w:val="21"/>
                <w:szCs w:val="21"/>
              </w:rPr>
              <w:t>线密度，dtex</w:t>
            </w:r>
          </w:p>
        </w:tc>
        <w:tc>
          <w:tcPr>
            <w:tcW w:w="2175" w:type="dxa"/>
            <w:tcBorders>
              <w:tl2br w:val="nil"/>
              <w:tr2bl w:val="nil"/>
            </w:tcBorders>
            <w:shd w:val="clear" w:color="auto" w:fill="auto"/>
            <w:tcMar>
              <w:top w:w="0" w:type="dxa"/>
              <w:left w:w="105" w:type="dxa"/>
              <w:bottom w:w="0" w:type="dxa"/>
              <w:right w:w="105" w:type="dxa"/>
            </w:tcMar>
            <w:vAlign w:val="top"/>
          </w:tcPr>
          <w:p w14:paraId="7F43DFC6">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经纱</w:t>
            </w:r>
          </w:p>
        </w:tc>
        <w:tc>
          <w:tcPr>
            <w:tcW w:w="4350" w:type="dxa"/>
            <w:vMerge w:val="restart"/>
            <w:tcBorders>
              <w:tl2br w:val="nil"/>
              <w:tr2bl w:val="nil"/>
            </w:tcBorders>
            <w:shd w:val="clear" w:color="auto" w:fill="auto"/>
            <w:tcMar>
              <w:top w:w="0" w:type="dxa"/>
              <w:left w:w="105" w:type="dxa"/>
              <w:bottom w:w="0" w:type="dxa"/>
              <w:right w:w="105" w:type="dxa"/>
            </w:tcMar>
            <w:vAlign w:val="center"/>
          </w:tcPr>
          <w:p w14:paraId="320E26DD">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666</w:t>
            </w:r>
          </w:p>
        </w:tc>
      </w:tr>
      <w:tr w14:paraId="1EE21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trPr>
        <w:tc>
          <w:tcPr>
            <w:tcW w:w="2190" w:type="dxa"/>
            <w:vMerge w:val="continue"/>
            <w:tcBorders>
              <w:tl2br w:val="nil"/>
              <w:tr2bl w:val="nil"/>
            </w:tcBorders>
            <w:shd w:val="clear" w:color="auto" w:fill="auto"/>
            <w:tcMar>
              <w:top w:w="0" w:type="dxa"/>
              <w:left w:w="105" w:type="dxa"/>
              <w:bottom w:w="0" w:type="dxa"/>
              <w:right w:w="105" w:type="dxa"/>
            </w:tcMar>
            <w:vAlign w:val="center"/>
          </w:tcPr>
          <w:p w14:paraId="5CA42320">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328476AB">
            <w:pPr>
              <w:pStyle w:val="5"/>
              <w:keepNext w:val="0"/>
              <w:keepLines w:val="0"/>
              <w:widowControl/>
              <w:suppressLineNumbers w:val="0"/>
              <w:spacing w:before="0" w:beforeAutospacing="0" w:after="150" w:afterAutospacing="0" w:line="405" w:lineRule="atLeast"/>
              <w:ind w:left="0" w:right="0"/>
              <w:jc w:val="center"/>
            </w:pPr>
            <w:r>
              <w:rPr>
                <w:rFonts w:hint="eastAsia" w:ascii="宋体" w:hAnsi="宋体" w:eastAsia="宋体" w:cs="宋体"/>
                <w:sz w:val="21"/>
                <w:szCs w:val="21"/>
              </w:rPr>
              <w:t>纬纱</w:t>
            </w:r>
          </w:p>
        </w:tc>
        <w:tc>
          <w:tcPr>
            <w:tcW w:w="4350" w:type="dxa"/>
            <w:vMerge w:val="continue"/>
            <w:tcBorders>
              <w:tl2br w:val="nil"/>
              <w:tr2bl w:val="nil"/>
            </w:tcBorders>
            <w:shd w:val="clear" w:color="auto" w:fill="auto"/>
            <w:tcMar>
              <w:top w:w="0" w:type="dxa"/>
              <w:left w:w="105" w:type="dxa"/>
              <w:bottom w:w="0" w:type="dxa"/>
              <w:right w:w="105" w:type="dxa"/>
            </w:tcMar>
            <w:vAlign w:val="center"/>
          </w:tcPr>
          <w:p w14:paraId="12F6B4F1">
            <w:pPr>
              <w:rPr>
                <w:rFonts w:hint="eastAsia" w:ascii="宋体"/>
                <w:sz w:val="24"/>
                <w:szCs w:val="24"/>
              </w:rPr>
            </w:pPr>
          </w:p>
        </w:tc>
      </w:tr>
    </w:tbl>
    <w:p w14:paraId="49A591A0">
      <w:pPr>
        <w:pStyle w:val="5"/>
        <w:keepNext w:val="0"/>
        <w:keepLines w:val="0"/>
        <w:widowControl/>
        <w:suppressLineNumbers w:val="0"/>
        <w:spacing w:before="0" w:beforeAutospacing="0" w:after="150" w:afterAutospacing="0" w:line="360" w:lineRule="atLeast"/>
        <w:ind w:left="0" w:right="0" w:firstLine="555"/>
        <w:textAlignment w:val="baseline"/>
      </w:pPr>
      <w:r>
        <w:rPr>
          <w:rFonts w:hint="eastAsia" w:ascii="宋体" w:hAnsi="宋体" w:eastAsia="宋体" w:cs="宋体"/>
          <w:sz w:val="28"/>
          <w:szCs w:val="28"/>
          <w:vertAlign w:val="baseline"/>
        </w:rPr>
        <w:t>B.3性能指标</w:t>
      </w:r>
    </w:p>
    <w:p w14:paraId="2B818D97">
      <w:pPr>
        <w:pStyle w:val="5"/>
        <w:keepNext w:val="0"/>
        <w:keepLines w:val="0"/>
        <w:widowControl/>
        <w:suppressLineNumbers w:val="0"/>
        <w:spacing w:before="0" w:beforeAutospacing="0" w:after="150" w:afterAutospacing="0" w:line="360" w:lineRule="atLeast"/>
        <w:ind w:left="0" w:right="0" w:firstLine="555"/>
      </w:pPr>
      <w:r>
        <w:rPr>
          <w:rFonts w:hint="eastAsia" w:ascii="宋体" w:hAnsi="宋体" w:eastAsia="宋体" w:cs="宋体"/>
          <w:sz w:val="28"/>
          <w:szCs w:val="28"/>
        </w:rPr>
        <w:t>性能指标见表B.2。</w:t>
      </w:r>
      <w:r>
        <w:rPr>
          <w:rFonts w:hint="eastAsia" w:ascii="宋体" w:hAnsi="宋体" w:eastAsia="宋体" w:cs="宋体"/>
          <w:sz w:val="28"/>
          <w:szCs w:val="28"/>
        </w:rPr>
        <w:br w:type="textWrapping"/>
      </w:r>
      <w:r>
        <w:rPr>
          <w:rFonts w:hint="eastAsia" w:ascii="宋体" w:hAnsi="宋体" w:eastAsia="宋体" w:cs="宋体"/>
          <w:sz w:val="28"/>
          <w:szCs w:val="28"/>
        </w:rPr>
        <w:t>  </w:t>
      </w:r>
      <w:r>
        <w:rPr>
          <w:rFonts w:hint="eastAsia" w:ascii="宋体" w:hAnsi="宋体" w:eastAsia="宋体" w:cs="宋体"/>
          <w:sz w:val="21"/>
          <w:szCs w:val="21"/>
        </w:rPr>
        <w:t>表B.2性能指标</w:t>
      </w:r>
    </w:p>
    <w:tbl>
      <w:tblPr>
        <w:tblStyle w:val="6"/>
        <w:tblW w:w="87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175"/>
        <w:gridCol w:w="2175"/>
        <w:gridCol w:w="4365"/>
      </w:tblGrid>
      <w:tr w14:paraId="11D29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center"/>
          </w:tcPr>
          <w:p w14:paraId="6B9BACB8">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项目</w:t>
            </w:r>
          </w:p>
        </w:tc>
        <w:tc>
          <w:tcPr>
            <w:tcW w:w="4365" w:type="dxa"/>
            <w:tcBorders>
              <w:tl2br w:val="nil"/>
              <w:tr2bl w:val="nil"/>
            </w:tcBorders>
            <w:shd w:val="clear" w:color="auto" w:fill="auto"/>
            <w:tcMar>
              <w:top w:w="0" w:type="dxa"/>
              <w:left w:w="105" w:type="dxa"/>
              <w:bottom w:w="0" w:type="dxa"/>
              <w:right w:w="105" w:type="dxa"/>
            </w:tcMar>
            <w:vAlign w:val="center"/>
          </w:tcPr>
          <w:p w14:paraId="42ACD81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指标</w:t>
            </w:r>
          </w:p>
        </w:tc>
      </w:tr>
      <w:tr w14:paraId="0CEC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top"/>
          </w:tcPr>
          <w:p w14:paraId="58A5BEB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单位面积质量，g/m</w:t>
            </w:r>
            <w:r>
              <w:rPr>
                <w:rFonts w:hint="eastAsia" w:ascii="宋体" w:hAnsi="宋体" w:eastAsia="宋体" w:cs="宋体"/>
                <w:sz w:val="21"/>
                <w:szCs w:val="21"/>
                <w:vertAlign w:val="superscript"/>
              </w:rPr>
              <w:t>2</w:t>
            </w:r>
          </w:p>
        </w:tc>
        <w:tc>
          <w:tcPr>
            <w:tcW w:w="4365" w:type="dxa"/>
            <w:tcBorders>
              <w:tl2br w:val="nil"/>
              <w:tr2bl w:val="nil"/>
            </w:tcBorders>
            <w:shd w:val="clear" w:color="auto" w:fill="auto"/>
            <w:tcMar>
              <w:top w:w="0" w:type="dxa"/>
              <w:left w:w="105" w:type="dxa"/>
              <w:bottom w:w="0" w:type="dxa"/>
              <w:right w:w="105" w:type="dxa"/>
            </w:tcMar>
            <w:vAlign w:val="top"/>
          </w:tcPr>
          <w:p w14:paraId="6DB6325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≥450</w:t>
            </w:r>
          </w:p>
        </w:tc>
      </w:tr>
      <w:tr w14:paraId="536A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175" w:type="dxa"/>
            <w:vMerge w:val="restart"/>
            <w:tcBorders>
              <w:tl2br w:val="nil"/>
              <w:tr2bl w:val="nil"/>
            </w:tcBorders>
            <w:shd w:val="clear" w:color="auto" w:fill="auto"/>
            <w:tcMar>
              <w:top w:w="0" w:type="dxa"/>
              <w:left w:w="105" w:type="dxa"/>
              <w:bottom w:w="0" w:type="dxa"/>
              <w:right w:w="105" w:type="dxa"/>
            </w:tcMar>
            <w:vAlign w:val="center"/>
          </w:tcPr>
          <w:p w14:paraId="6697CE9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断裂强力，N/5cm</w:t>
            </w:r>
          </w:p>
        </w:tc>
        <w:tc>
          <w:tcPr>
            <w:tcW w:w="2175" w:type="dxa"/>
            <w:tcBorders>
              <w:tl2br w:val="nil"/>
              <w:tr2bl w:val="nil"/>
            </w:tcBorders>
            <w:shd w:val="clear" w:color="auto" w:fill="auto"/>
            <w:tcMar>
              <w:top w:w="0" w:type="dxa"/>
              <w:left w:w="105" w:type="dxa"/>
              <w:bottom w:w="0" w:type="dxa"/>
              <w:right w:w="105" w:type="dxa"/>
            </w:tcMar>
            <w:vAlign w:val="top"/>
          </w:tcPr>
          <w:p w14:paraId="0C9D93F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经向</w:t>
            </w:r>
          </w:p>
        </w:tc>
        <w:tc>
          <w:tcPr>
            <w:tcW w:w="4365" w:type="dxa"/>
            <w:tcBorders>
              <w:tl2br w:val="nil"/>
              <w:tr2bl w:val="nil"/>
            </w:tcBorders>
            <w:shd w:val="clear" w:color="auto" w:fill="auto"/>
            <w:tcMar>
              <w:top w:w="0" w:type="dxa"/>
              <w:left w:w="105" w:type="dxa"/>
              <w:bottom w:w="0" w:type="dxa"/>
              <w:right w:w="105" w:type="dxa"/>
            </w:tcMar>
            <w:vAlign w:val="top"/>
          </w:tcPr>
          <w:p w14:paraId="42D5535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≥1600</w:t>
            </w:r>
          </w:p>
        </w:tc>
      </w:tr>
      <w:tr w14:paraId="382B3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14:paraId="04D29F63">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3056D32B">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纬向</w:t>
            </w:r>
          </w:p>
        </w:tc>
        <w:tc>
          <w:tcPr>
            <w:tcW w:w="4365" w:type="dxa"/>
            <w:tcBorders>
              <w:tl2br w:val="nil"/>
              <w:tr2bl w:val="nil"/>
            </w:tcBorders>
            <w:shd w:val="clear" w:color="auto" w:fill="auto"/>
            <w:tcMar>
              <w:top w:w="0" w:type="dxa"/>
              <w:left w:w="105" w:type="dxa"/>
              <w:bottom w:w="0" w:type="dxa"/>
              <w:right w:w="105" w:type="dxa"/>
            </w:tcMar>
            <w:vAlign w:val="top"/>
          </w:tcPr>
          <w:p w14:paraId="31A012D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≥1350</w:t>
            </w:r>
          </w:p>
        </w:tc>
      </w:tr>
      <w:tr w14:paraId="5EB8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175" w:type="dxa"/>
            <w:vMerge w:val="restart"/>
            <w:tcBorders>
              <w:tl2br w:val="nil"/>
              <w:tr2bl w:val="nil"/>
            </w:tcBorders>
            <w:shd w:val="clear" w:color="auto" w:fill="auto"/>
            <w:tcMar>
              <w:top w:w="0" w:type="dxa"/>
              <w:left w:w="105" w:type="dxa"/>
              <w:bottom w:w="0" w:type="dxa"/>
              <w:right w:w="105" w:type="dxa"/>
            </w:tcMar>
            <w:vAlign w:val="center"/>
          </w:tcPr>
          <w:p w14:paraId="250B43E5">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撕破强力，N</w:t>
            </w:r>
          </w:p>
        </w:tc>
        <w:tc>
          <w:tcPr>
            <w:tcW w:w="2175" w:type="dxa"/>
            <w:tcBorders>
              <w:tl2br w:val="nil"/>
              <w:tr2bl w:val="nil"/>
            </w:tcBorders>
            <w:shd w:val="clear" w:color="auto" w:fill="auto"/>
            <w:tcMar>
              <w:top w:w="0" w:type="dxa"/>
              <w:left w:w="105" w:type="dxa"/>
              <w:bottom w:w="0" w:type="dxa"/>
              <w:right w:w="105" w:type="dxa"/>
            </w:tcMar>
            <w:vAlign w:val="top"/>
          </w:tcPr>
          <w:p w14:paraId="0FA82569">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经向</w:t>
            </w:r>
          </w:p>
        </w:tc>
        <w:tc>
          <w:tcPr>
            <w:tcW w:w="4365" w:type="dxa"/>
            <w:tcBorders>
              <w:tl2br w:val="nil"/>
              <w:tr2bl w:val="nil"/>
            </w:tcBorders>
            <w:shd w:val="clear" w:color="auto" w:fill="auto"/>
            <w:tcMar>
              <w:top w:w="0" w:type="dxa"/>
              <w:left w:w="105" w:type="dxa"/>
              <w:bottom w:w="0" w:type="dxa"/>
              <w:right w:w="105" w:type="dxa"/>
            </w:tcMar>
            <w:vAlign w:val="top"/>
          </w:tcPr>
          <w:p w14:paraId="4B00D32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≥45</w:t>
            </w:r>
          </w:p>
        </w:tc>
      </w:tr>
      <w:tr w14:paraId="2D3E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14:paraId="129708E9">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3C7136B1">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纬向</w:t>
            </w:r>
          </w:p>
        </w:tc>
        <w:tc>
          <w:tcPr>
            <w:tcW w:w="4365" w:type="dxa"/>
            <w:tcBorders>
              <w:tl2br w:val="nil"/>
              <w:tr2bl w:val="nil"/>
            </w:tcBorders>
            <w:shd w:val="clear" w:color="auto" w:fill="auto"/>
            <w:tcMar>
              <w:top w:w="0" w:type="dxa"/>
              <w:left w:w="105" w:type="dxa"/>
              <w:bottom w:w="0" w:type="dxa"/>
              <w:right w:w="105" w:type="dxa"/>
            </w:tcMar>
            <w:vAlign w:val="top"/>
          </w:tcPr>
          <w:p w14:paraId="26ED4EB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≥40</w:t>
            </w:r>
          </w:p>
        </w:tc>
      </w:tr>
      <w:tr w14:paraId="4C2F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top"/>
          </w:tcPr>
          <w:p w14:paraId="55FBA85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抗粘连性</w:t>
            </w:r>
          </w:p>
        </w:tc>
        <w:tc>
          <w:tcPr>
            <w:tcW w:w="4365" w:type="dxa"/>
            <w:tcBorders>
              <w:tl2br w:val="nil"/>
              <w:tr2bl w:val="nil"/>
            </w:tcBorders>
            <w:shd w:val="clear" w:color="auto" w:fill="auto"/>
            <w:tcMar>
              <w:top w:w="0" w:type="dxa"/>
              <w:left w:w="105" w:type="dxa"/>
              <w:bottom w:w="0" w:type="dxa"/>
              <w:right w:w="105" w:type="dxa"/>
            </w:tcMar>
            <w:vAlign w:val="top"/>
          </w:tcPr>
          <w:p w14:paraId="099A37E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允许轻度粘连</w:t>
            </w:r>
          </w:p>
        </w:tc>
      </w:tr>
      <w:tr w14:paraId="5D9B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4350" w:type="dxa"/>
            <w:gridSpan w:val="2"/>
            <w:tcBorders>
              <w:tl2br w:val="nil"/>
              <w:tr2bl w:val="nil"/>
            </w:tcBorders>
            <w:shd w:val="clear" w:color="auto" w:fill="auto"/>
            <w:tcMar>
              <w:top w:w="0" w:type="dxa"/>
              <w:left w:w="105" w:type="dxa"/>
              <w:bottom w:w="0" w:type="dxa"/>
              <w:right w:w="105" w:type="dxa"/>
            </w:tcMar>
            <w:vAlign w:val="top"/>
          </w:tcPr>
          <w:p w14:paraId="6796EBF7">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静水压，kPa</w:t>
            </w:r>
          </w:p>
        </w:tc>
        <w:tc>
          <w:tcPr>
            <w:tcW w:w="4365" w:type="dxa"/>
            <w:tcBorders>
              <w:tl2br w:val="nil"/>
              <w:tr2bl w:val="nil"/>
            </w:tcBorders>
            <w:shd w:val="clear" w:color="auto" w:fill="auto"/>
            <w:tcMar>
              <w:top w:w="0" w:type="dxa"/>
              <w:left w:w="105" w:type="dxa"/>
              <w:bottom w:w="0" w:type="dxa"/>
              <w:right w:w="105" w:type="dxa"/>
            </w:tcMar>
            <w:vAlign w:val="top"/>
          </w:tcPr>
          <w:p w14:paraId="2FB934F0">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≥50</w:t>
            </w:r>
          </w:p>
        </w:tc>
      </w:tr>
      <w:tr w14:paraId="67C22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trPr>
        <w:tc>
          <w:tcPr>
            <w:tcW w:w="2175" w:type="dxa"/>
            <w:vMerge w:val="restart"/>
            <w:tcBorders>
              <w:tl2br w:val="nil"/>
              <w:tr2bl w:val="nil"/>
            </w:tcBorders>
            <w:shd w:val="clear" w:color="auto" w:fill="auto"/>
            <w:tcMar>
              <w:top w:w="0" w:type="dxa"/>
              <w:left w:w="105" w:type="dxa"/>
              <w:bottom w:w="0" w:type="dxa"/>
              <w:right w:w="105" w:type="dxa"/>
            </w:tcMar>
            <w:vAlign w:val="center"/>
          </w:tcPr>
          <w:p w14:paraId="6F56C582">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阻燃性能</w:t>
            </w:r>
          </w:p>
        </w:tc>
        <w:tc>
          <w:tcPr>
            <w:tcW w:w="2175" w:type="dxa"/>
            <w:tcBorders>
              <w:tl2br w:val="nil"/>
              <w:tr2bl w:val="nil"/>
            </w:tcBorders>
            <w:shd w:val="clear" w:color="auto" w:fill="auto"/>
            <w:tcMar>
              <w:top w:w="0" w:type="dxa"/>
              <w:left w:w="105" w:type="dxa"/>
              <w:bottom w:w="0" w:type="dxa"/>
              <w:right w:w="105" w:type="dxa"/>
            </w:tcMar>
            <w:vAlign w:val="top"/>
          </w:tcPr>
          <w:p w14:paraId="18B0DA1F">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损毁长度，mm</w:t>
            </w:r>
          </w:p>
        </w:tc>
        <w:tc>
          <w:tcPr>
            <w:tcW w:w="4365" w:type="dxa"/>
            <w:tcBorders>
              <w:tl2br w:val="nil"/>
              <w:tr2bl w:val="nil"/>
            </w:tcBorders>
            <w:shd w:val="clear" w:color="auto" w:fill="auto"/>
            <w:tcMar>
              <w:top w:w="0" w:type="dxa"/>
              <w:left w:w="105" w:type="dxa"/>
              <w:bottom w:w="0" w:type="dxa"/>
              <w:right w:w="105" w:type="dxa"/>
            </w:tcMar>
            <w:vAlign w:val="top"/>
          </w:tcPr>
          <w:p w14:paraId="3086B443">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≤200</w:t>
            </w:r>
          </w:p>
        </w:tc>
      </w:tr>
      <w:tr w14:paraId="09AD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14:paraId="26397654">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44F7B0FD">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续、阴燃时间，s</w:t>
            </w:r>
          </w:p>
        </w:tc>
        <w:tc>
          <w:tcPr>
            <w:tcW w:w="4365" w:type="dxa"/>
            <w:tcBorders>
              <w:tl2br w:val="nil"/>
              <w:tr2bl w:val="nil"/>
            </w:tcBorders>
            <w:shd w:val="clear" w:color="auto" w:fill="auto"/>
            <w:tcMar>
              <w:top w:w="0" w:type="dxa"/>
              <w:left w:w="105" w:type="dxa"/>
              <w:bottom w:w="0" w:type="dxa"/>
              <w:right w:w="105" w:type="dxa"/>
            </w:tcMar>
            <w:vAlign w:val="top"/>
          </w:tcPr>
          <w:p w14:paraId="4ADCAE1A">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≤20</w:t>
            </w:r>
          </w:p>
        </w:tc>
      </w:tr>
      <w:tr w14:paraId="6FD0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5" w:hRule="atLeast"/>
        </w:trPr>
        <w:tc>
          <w:tcPr>
            <w:tcW w:w="2175" w:type="dxa"/>
            <w:vMerge w:val="continue"/>
            <w:tcBorders>
              <w:tl2br w:val="nil"/>
              <w:tr2bl w:val="nil"/>
            </w:tcBorders>
            <w:shd w:val="clear" w:color="auto" w:fill="auto"/>
            <w:tcMar>
              <w:top w:w="0" w:type="dxa"/>
              <w:left w:w="105" w:type="dxa"/>
              <w:bottom w:w="0" w:type="dxa"/>
              <w:right w:w="105" w:type="dxa"/>
            </w:tcMar>
            <w:vAlign w:val="center"/>
          </w:tcPr>
          <w:p w14:paraId="3B7EA080">
            <w:pPr>
              <w:rPr>
                <w:rFonts w:hint="eastAsia" w:ascii="宋体"/>
                <w:sz w:val="24"/>
                <w:szCs w:val="24"/>
              </w:rPr>
            </w:pPr>
          </w:p>
        </w:tc>
        <w:tc>
          <w:tcPr>
            <w:tcW w:w="2175" w:type="dxa"/>
            <w:tcBorders>
              <w:tl2br w:val="nil"/>
              <w:tr2bl w:val="nil"/>
            </w:tcBorders>
            <w:shd w:val="clear" w:color="auto" w:fill="auto"/>
            <w:tcMar>
              <w:top w:w="0" w:type="dxa"/>
              <w:left w:w="105" w:type="dxa"/>
              <w:bottom w:w="0" w:type="dxa"/>
              <w:right w:w="105" w:type="dxa"/>
            </w:tcMar>
            <w:vAlign w:val="top"/>
          </w:tcPr>
          <w:p w14:paraId="55ABB754">
            <w:pPr>
              <w:pStyle w:val="5"/>
              <w:keepNext w:val="0"/>
              <w:keepLines w:val="0"/>
              <w:widowControl/>
              <w:suppressLineNumbers w:val="0"/>
              <w:spacing w:before="0" w:beforeAutospacing="0" w:after="150" w:afterAutospacing="0" w:line="300" w:lineRule="atLeast"/>
              <w:ind w:left="0" w:right="0"/>
              <w:jc w:val="center"/>
            </w:pPr>
            <w:r>
              <w:rPr>
                <w:rFonts w:hint="eastAsia" w:ascii="宋体" w:hAnsi="宋体" w:eastAsia="宋体" w:cs="宋体"/>
                <w:sz w:val="21"/>
                <w:szCs w:val="21"/>
              </w:rPr>
              <w:t>熔融脱落物</w:t>
            </w:r>
          </w:p>
        </w:tc>
        <w:tc>
          <w:tcPr>
            <w:tcW w:w="4365" w:type="dxa"/>
            <w:tcBorders>
              <w:tl2br w:val="nil"/>
              <w:tr2bl w:val="nil"/>
            </w:tcBorders>
            <w:shd w:val="clear" w:color="auto" w:fill="auto"/>
            <w:tcMar>
              <w:top w:w="0" w:type="dxa"/>
              <w:left w:w="105" w:type="dxa"/>
              <w:bottom w:w="0" w:type="dxa"/>
              <w:right w:w="105" w:type="dxa"/>
            </w:tcMar>
            <w:vAlign w:val="top"/>
          </w:tcPr>
          <w:p w14:paraId="3378EEA8">
            <w:pPr>
              <w:pStyle w:val="5"/>
              <w:keepNext w:val="0"/>
              <w:keepLines w:val="0"/>
              <w:widowControl/>
              <w:suppressLineNumbers w:val="0"/>
              <w:spacing w:before="0" w:beforeAutospacing="0" w:after="0" w:afterAutospacing="0" w:line="300" w:lineRule="atLeast"/>
              <w:ind w:left="225" w:right="0"/>
              <w:jc w:val="center"/>
            </w:pPr>
            <w:r>
              <w:rPr>
                <w:rFonts w:hint="eastAsia" w:ascii="宋体" w:hAnsi="宋体" w:eastAsia="宋体" w:cs="宋体"/>
                <w:sz w:val="21"/>
                <w:szCs w:val="21"/>
              </w:rPr>
              <w:t>不得引起脱脂棉燃烧或阴燃</w:t>
            </w:r>
          </w:p>
        </w:tc>
      </w:tr>
    </w:tbl>
    <w:p w14:paraId="180FE96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480"/>
        <w:textAlignment w:val="auto"/>
      </w:pPr>
      <w:r>
        <w:rPr>
          <w:rFonts w:hint="eastAsia" w:ascii="宋体" w:hAnsi="宋体" w:eastAsia="宋体" w:cs="宋体"/>
          <w:sz w:val="28"/>
          <w:szCs w:val="28"/>
        </w:rPr>
        <w:t> 1.提供所投产品2019年经省 级及以上检测机构出具的检测报告复印件（加盖公章），原件备查。检测依据为GB/T4669-2008、GB/T3923.1-2013、 GB/T3923.3-2009、FZ/T01063—2008、FZ/T01004—2008、GB/T5455—2014、MZ/T015.1—2010及招标文件有关要求。检测项目必须有：PVC涂层布(单位面积质量、断裂强力、撕破强力、抗粘连性、静水压、阻燃性能)，Φ25mm×1.1mm焊接钢管（膜厚、壁厚、外径）。未提供检测报告或检测报告内的检测项目未达到招标文件要求的，视为投标无效。</w:t>
      </w:r>
    </w:p>
    <w:p w14:paraId="2E51360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2.包装：纸箱为双瓦楞纸，每4个折叠床装1箱，每床折叠床装入单独的聚乙烯塑料袋内，2个折叠床之间放置单层瓦楞纸片，防止刮花。</w:t>
      </w:r>
    </w:p>
    <w:p w14:paraId="7D7F1036">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3.样品要求：折叠床、包装【塑料袋、纸箱截片（长、宽≥10cm）、打包带（长度≥10cm）】。未提供样品视为投标无效。</w:t>
      </w:r>
    </w:p>
    <w:p w14:paraId="35F4788E">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555"/>
        <w:textAlignment w:val="auto"/>
      </w:pPr>
      <w:r>
        <w:rPr>
          <w:rFonts w:hint="eastAsia" w:ascii="宋体" w:hAnsi="宋体" w:eastAsia="宋体" w:cs="宋体"/>
          <w:sz w:val="28"/>
          <w:szCs w:val="28"/>
        </w:rPr>
        <w:t>4.包装印刷及其他要求：</w:t>
      </w:r>
    </w:p>
    <w:p w14:paraId="4D86679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rPr>
          <w:b/>
          <w:bCs/>
        </w:rPr>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r>
        <w:rPr>
          <w:rFonts w:hint="eastAsia" w:ascii="宋体" w:hAnsi="宋体" w:eastAsia="宋体" w:cs="宋体"/>
          <w:sz w:val="28"/>
          <w:szCs w:val="28"/>
        </w:rPr>
        <w:br w:type="textWrapping"/>
      </w:r>
    </w:p>
    <w:p w14:paraId="1F8A1E2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8"/>
          <w:szCs w:val="28"/>
        </w:rPr>
      </w:pPr>
      <w:r>
        <w:rPr>
          <w:rFonts w:hint="eastAsia" w:ascii="宋体" w:hAnsi="宋体" w:eastAsia="宋体" w:cs="宋体"/>
          <w:sz w:val="28"/>
          <w:szCs w:val="28"/>
        </w:rPr>
        <w:drawing>
          <wp:inline distT="0" distB="0" distL="114300" distR="114300">
            <wp:extent cx="4038600" cy="2943225"/>
            <wp:effectExtent l="0" t="0" r="0" b="9525"/>
            <wp:docPr id="24" name="图片 24" descr="1562145368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62145368313.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14:paraId="3DA8234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7198C7E0">
      <w:pPr>
        <w:pStyle w:val="5"/>
        <w:keepNext w:val="0"/>
        <w:keepLines w:val="0"/>
        <w:widowControl/>
        <w:suppressLineNumbers w:val="0"/>
        <w:spacing w:before="0" w:beforeAutospacing="0" w:after="150" w:afterAutospacing="0"/>
        <w:ind w:left="0" w:right="0"/>
        <w:jc w:val="center"/>
      </w:pPr>
      <w:r>
        <w:drawing>
          <wp:inline distT="0" distB="0" distL="114300" distR="114300">
            <wp:extent cx="4219575" cy="2333625"/>
            <wp:effectExtent l="0" t="0" r="9525" b="9525"/>
            <wp:docPr id="25" name="图片 25" descr="15621453948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562145394884.png"/>
                    <pic:cNvPicPr>
                      <a:picLocks noChangeAspect="1"/>
                    </pic:cNvPicPr>
                  </pic:nvPicPr>
                  <pic:blipFill>
                    <a:blip r:embed="rId10"/>
                    <a:stretch>
                      <a:fillRect/>
                    </a:stretch>
                  </pic:blipFill>
                  <pic:spPr>
                    <a:xfrm>
                      <a:off x="0" y="0"/>
                      <a:ext cx="4219575" cy="2333625"/>
                    </a:xfrm>
                    <a:prstGeom prst="rect">
                      <a:avLst/>
                    </a:prstGeom>
                    <a:noFill/>
                    <a:ln w="9525">
                      <a:noFill/>
                    </a:ln>
                  </pic:spPr>
                </pic:pic>
              </a:graphicData>
            </a:graphic>
          </wp:inline>
        </w:drawing>
      </w:r>
    </w:p>
    <w:p w14:paraId="28C6700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30" w:lineRule="exact"/>
        <w:ind w:left="0" w:right="0"/>
        <w:textAlignment w:val="auto"/>
      </w:pPr>
      <w:r>
        <w:rPr>
          <w:rFonts w:hint="eastAsia" w:ascii="宋体" w:hAnsi="宋体" w:eastAsia="宋体" w:cs="宋体"/>
          <w:sz w:val="28"/>
          <w:szCs w:val="28"/>
        </w:rPr>
        <w:t>   （3）纸箱为双瓦楞纸，箱外需打井字型打包带，便于搬运。</w:t>
      </w:r>
    </w:p>
    <w:p w14:paraId="36B42917">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30" w:lineRule="exact"/>
        <w:ind w:left="0" w:right="0"/>
        <w:textAlignment w:val="auto"/>
      </w:pPr>
      <w:r>
        <w:rPr>
          <w:rFonts w:hint="eastAsia" w:ascii="宋体" w:hAnsi="宋体" w:eastAsia="宋体" w:cs="宋体"/>
          <w:sz w:val="28"/>
          <w:szCs w:val="28"/>
        </w:rPr>
        <w:t>    （4）每个纸箱内需附产品检验单一张，检验单样式见《图3 检验单》。其中“检验单”、“产品名 称”、“品等”、“生产日期”、“检验人员”和“承制单位名 称”标题为黑体字，其他为宋体字。检验单尺寸为B5纸的1/4。字体大小适宜。</w:t>
      </w:r>
    </w:p>
    <w:p w14:paraId="370D8420">
      <w:pPr>
        <w:pStyle w:val="5"/>
        <w:keepNext w:val="0"/>
        <w:keepLines w:val="0"/>
        <w:widowControl/>
        <w:suppressLineNumbers w:val="0"/>
        <w:spacing w:before="0" w:beforeAutospacing="0" w:after="150" w:afterAutospacing="0"/>
        <w:ind w:left="0" w:right="0"/>
        <w:jc w:val="center"/>
      </w:pPr>
      <w:r>
        <w:drawing>
          <wp:inline distT="0" distB="0" distL="114300" distR="114300">
            <wp:extent cx="3371850" cy="2019300"/>
            <wp:effectExtent l="0" t="0" r="0" b="0"/>
            <wp:docPr id="26" name="图片 26" descr="1562145419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62145419157.png"/>
                    <pic:cNvPicPr>
                      <a:picLocks noChangeAspect="1"/>
                    </pic:cNvPicPr>
                  </pic:nvPicPr>
                  <pic:blipFill>
                    <a:blip r:embed="rId7"/>
                    <a:stretch>
                      <a:fillRect/>
                    </a:stretch>
                  </pic:blipFill>
                  <pic:spPr>
                    <a:xfrm>
                      <a:off x="0" y="0"/>
                      <a:ext cx="3371850" cy="2019300"/>
                    </a:xfrm>
                    <a:prstGeom prst="rect">
                      <a:avLst/>
                    </a:prstGeom>
                    <a:noFill/>
                    <a:ln w="9525">
                      <a:noFill/>
                    </a:ln>
                  </pic:spPr>
                </pic:pic>
              </a:graphicData>
            </a:graphic>
          </wp:inline>
        </w:drawing>
      </w:r>
    </w:p>
    <w:p w14:paraId="71A24857">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62B88049">
      <w:pPr>
        <w:pStyle w:val="5"/>
        <w:keepNext w:val="0"/>
        <w:keepLines w:val="0"/>
        <w:widowControl/>
        <w:suppressLineNumbers w:val="0"/>
        <w:spacing w:before="0" w:beforeAutospacing="0" w:after="150" w:afterAutospacing="0" w:line="555" w:lineRule="atLeast"/>
        <w:ind w:right="0"/>
      </w:pPr>
      <w:r>
        <w:rPr>
          <w:rFonts w:hint="eastAsia" w:ascii="黑体" w:hAnsi="宋体" w:eastAsia="黑体" w:cs="黑体"/>
          <w:sz w:val="28"/>
          <w:szCs w:val="28"/>
          <w:shd w:val="clear" w:fill="FFFFFF"/>
        </w:rPr>
        <w:t>合同包6:雨衣雨靴</w:t>
      </w:r>
    </w:p>
    <w:p w14:paraId="654643C2">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1.雨衣：面料：成分100%</w:t>
      </w:r>
      <w:r>
        <w:rPr>
          <w:rFonts w:hint="eastAsia" w:ascii="宋体" w:hAnsi="宋体" w:eastAsia="宋体" w:cs="宋体"/>
          <w:color w:val="333333"/>
          <w:sz w:val="28"/>
          <w:szCs w:val="28"/>
          <w:shd w:val="clear" w:fill="FFFFFF"/>
        </w:rPr>
        <w:t>聚酯纤维</w:t>
      </w:r>
      <w:r>
        <w:rPr>
          <w:rFonts w:hint="eastAsia" w:ascii="宋体" w:hAnsi="宋体" w:eastAsia="宋体" w:cs="宋体"/>
          <w:sz w:val="28"/>
          <w:szCs w:val="28"/>
        </w:rPr>
        <w:t>，克重≥110g/m2，静水压≥40kPa(mmH20)，透湿量≥4000g/（m2﹒d）；耐水色牢度≥3级；里料：190T涤塔夫,成分100%聚酯纤维，克重≥40g/m2；超大帽檐配合松紧绳设 计，雨帽可收缩到后衣领中；门襟采用树脂拉链和按扣，门襟两侧设置两个隐藏口袋；高亮反光条，前胸和后背各一道反光条，具备夜间作业的识别功能；热封条应热封平整，热封条粘合后宽度≥16mm; 颜色：藏青色。型号：</w:t>
      </w:r>
      <w:r>
        <w:rPr>
          <w:rFonts w:hint="eastAsia" w:ascii="宋体" w:hAnsi="宋体" w:eastAsia="宋体" w:cs="宋体"/>
          <w:sz w:val="28"/>
          <w:szCs w:val="28"/>
          <w:shd w:val="clear" w:fill="FFFFFF"/>
        </w:rPr>
        <w:t>根据采购方要求在采购合同中约定。</w:t>
      </w:r>
      <w:r>
        <w:rPr>
          <w:rFonts w:hint="eastAsia" w:ascii="宋体" w:hAnsi="宋体" w:eastAsia="宋体" w:cs="宋体"/>
          <w:sz w:val="28"/>
          <w:szCs w:val="28"/>
        </w:rPr>
        <w:t>参 考样式如下：</w:t>
      </w:r>
    </w:p>
    <w:p w14:paraId="5B8ADF45">
      <w:pPr>
        <w:pStyle w:val="5"/>
        <w:keepNext w:val="0"/>
        <w:keepLines w:val="0"/>
        <w:widowControl/>
        <w:suppressLineNumbers w:val="0"/>
        <w:spacing w:before="0" w:beforeAutospacing="0" w:after="150" w:afterAutospacing="0"/>
        <w:ind w:left="0" w:right="0"/>
        <w:jc w:val="center"/>
      </w:pPr>
      <w:r>
        <w:drawing>
          <wp:inline distT="0" distB="0" distL="114300" distR="114300">
            <wp:extent cx="4857750" cy="3524250"/>
            <wp:effectExtent l="0" t="0" r="0" b="0"/>
            <wp:docPr id="27" name="图片 27" descr="1562145661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562145661252.png"/>
                    <pic:cNvPicPr>
                      <a:picLocks noChangeAspect="1"/>
                    </pic:cNvPicPr>
                  </pic:nvPicPr>
                  <pic:blipFill>
                    <a:blip r:embed="rId21"/>
                    <a:stretch>
                      <a:fillRect/>
                    </a:stretch>
                  </pic:blipFill>
                  <pic:spPr>
                    <a:xfrm>
                      <a:off x="0" y="0"/>
                      <a:ext cx="4857750" cy="3524250"/>
                    </a:xfrm>
                    <a:prstGeom prst="rect">
                      <a:avLst/>
                    </a:prstGeom>
                    <a:noFill/>
                    <a:ln w="9525">
                      <a:noFill/>
                    </a:ln>
                  </pic:spPr>
                </pic:pic>
              </a:graphicData>
            </a:graphic>
          </wp:inline>
        </w:drawing>
      </w:r>
    </w:p>
    <w:p w14:paraId="68C812C7">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8F0903A">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041C1C5C">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A32AC8E">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2.雨靴：天然橡胶，棉布内里，圆头设 计，防滑耐磨橡胶底，黑色，帮高≥30cm。型号：</w:t>
      </w:r>
      <w:r>
        <w:rPr>
          <w:rFonts w:hint="eastAsia" w:ascii="宋体" w:hAnsi="宋体" w:eastAsia="宋体" w:cs="宋体"/>
          <w:sz w:val="28"/>
          <w:szCs w:val="28"/>
          <w:shd w:val="clear" w:fill="FFFFFF"/>
        </w:rPr>
        <w:t>根据采购方要求在采购合同中约定。</w:t>
      </w:r>
    </w:p>
    <w:p w14:paraId="212C39E9">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3.提供所投产品2019年经省 级及以上检测机构出具的检测报告复印件（加盖公章），原件备查。雨衣检测依据为GB18401-2010《国家纺织产品基本安全技术规范》 C类、GB/T 4744-2013《纺织品防水性能的检测和评价》、GB/T 12704.2-2009(方法B 蒸发法)《纺织品织物透湿性试验方法》、QB/T4999-2016《日用防雨品雨披雨衣》有关要求，雨衣检测项目必须有：面料和里料成分、PH值、甲醛、克重；面料的耐水色牢度、静水压及透湿量。雨靴检测依据为符合HG/T 2019-2011《黑色雨靴（鞋）》合格品要求，雨靴检测项目必须有：拉伸强度、拉断伸长率、硬度、磨耗量、拉伸强度老化性能保持率(鞋面、鞋底)；鞋面漆膜伸长率、粘合强度、厚度。未提供检测报告或检测报告内的检测项目未达到招标文件要求的，视为投标无效。</w:t>
      </w:r>
    </w:p>
    <w:p w14:paraId="3656B629">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4.包装：每20件雨衣装1箱，每件雨衣装入单独的塑料袋内；每10双雨靴装1箱，每双雨靴装入单独的塑料袋内。</w:t>
      </w:r>
    </w:p>
    <w:p w14:paraId="34DD88D9">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5.样品要求：雨衣雨靴、包装【塑料袋、纸箱截片（长、宽≥10cm）、打包带（长度≥10cm）】。未提供样品视为投标无效。</w:t>
      </w:r>
    </w:p>
    <w:p w14:paraId="6A6A078C">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7F59CE1A">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82FE93D">
      <w:pPr>
        <w:pStyle w:val="5"/>
        <w:keepNext w:val="0"/>
        <w:keepLines w:val="0"/>
        <w:widowControl/>
        <w:suppressLineNumbers w:val="0"/>
        <w:spacing w:before="0" w:beforeAutospacing="0" w:after="150" w:afterAutospacing="0" w:line="600" w:lineRule="atLeast"/>
        <w:ind w:left="0" w:right="0" w:firstLine="555"/>
        <w:rPr>
          <w:rFonts w:hint="eastAsia" w:ascii="宋体" w:hAnsi="宋体" w:eastAsia="宋体" w:cs="宋体"/>
          <w:sz w:val="28"/>
          <w:szCs w:val="28"/>
        </w:rPr>
      </w:pPr>
    </w:p>
    <w:p w14:paraId="3FF75B6E">
      <w:pPr>
        <w:pStyle w:val="5"/>
        <w:keepNext w:val="0"/>
        <w:keepLines w:val="0"/>
        <w:widowControl/>
        <w:suppressLineNumbers w:val="0"/>
        <w:spacing w:before="0" w:beforeAutospacing="0" w:after="150" w:afterAutospacing="0" w:line="600" w:lineRule="atLeast"/>
        <w:ind w:left="0" w:right="0" w:firstLine="555"/>
      </w:pPr>
      <w:r>
        <w:rPr>
          <w:rFonts w:hint="eastAsia" w:ascii="宋体" w:hAnsi="宋体" w:eastAsia="宋体" w:cs="宋体"/>
          <w:sz w:val="28"/>
          <w:szCs w:val="28"/>
        </w:rPr>
        <w:t>6.包装印刷及其他要求：</w:t>
      </w:r>
    </w:p>
    <w:p w14:paraId="17C7807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（1）纸箱外两侧面均印刷黑色的产品名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36F41152">
      <w:pPr>
        <w:pStyle w:val="5"/>
        <w:keepNext w:val="0"/>
        <w:keepLines w:val="0"/>
        <w:widowControl/>
        <w:suppressLineNumbers w:val="0"/>
        <w:spacing w:before="0" w:beforeAutospacing="0" w:after="150" w:afterAutospacing="0"/>
        <w:ind w:left="0" w:right="0"/>
        <w:jc w:val="center"/>
      </w:pPr>
      <w:r>
        <w:drawing>
          <wp:inline distT="0" distB="0" distL="114300" distR="114300">
            <wp:extent cx="4038600" cy="2404110"/>
            <wp:effectExtent l="0" t="0" r="0" b="15240"/>
            <wp:docPr id="28" name="图片 28" descr="1562145697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62145697390.png"/>
                    <pic:cNvPicPr>
                      <a:picLocks noChangeAspect="1"/>
                    </pic:cNvPicPr>
                  </pic:nvPicPr>
                  <pic:blipFill>
                    <a:blip r:embed="rId5"/>
                    <a:stretch>
                      <a:fillRect/>
                    </a:stretch>
                  </pic:blipFill>
                  <pic:spPr>
                    <a:xfrm>
                      <a:off x="0" y="0"/>
                      <a:ext cx="4038600" cy="2404110"/>
                    </a:xfrm>
                    <a:prstGeom prst="rect">
                      <a:avLst/>
                    </a:prstGeom>
                    <a:noFill/>
                    <a:ln w="9525">
                      <a:noFill/>
                    </a:ln>
                  </pic:spPr>
                </pic:pic>
              </a:graphicData>
            </a:graphic>
          </wp:inline>
        </w:drawing>
      </w:r>
    </w:p>
    <w:p w14:paraId="28765A81">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textAlignment w:val="auto"/>
      </w:pPr>
      <w:r>
        <w:rPr>
          <w:rFonts w:hint="eastAsia" w:ascii="宋体" w:hAnsi="宋体" w:eastAsia="宋体" w:cs="宋体"/>
          <w:sz w:val="28"/>
          <w:szCs w:val="28"/>
        </w:rPr>
        <w:t>    （2）纸箱两侧面距封口8cm处需各贴1个超高频电子标签（每纸箱贴2个）。电子标签为纸质超高频电子标签，长度为100mm，宽度为50mm。电子标签编码规则在合同签订后由采购人提供，空白电子标签由中标人采购，电子标签打印采购人可协助，电子标签需由中标人在物资卸货时负责粘贴。中标人应严格按照要求粘贴电子标签，保证电子标签平整、美观、无损坏。电子标签采购、打印、粘贴等产生的费用由中标人承担，计入中标价。电子标签参 考图见《图2：电子标签示意图》。</w:t>
      </w:r>
    </w:p>
    <w:p w14:paraId="57EB848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8"/>
          <w:szCs w:val="28"/>
        </w:rPr>
        <w:drawing>
          <wp:inline distT="0" distB="0" distL="114300" distR="114300">
            <wp:extent cx="4210050" cy="2091690"/>
            <wp:effectExtent l="0" t="0" r="0" b="3810"/>
            <wp:docPr id="29" name="图片 29" descr="1562145729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62145729601.png"/>
                    <pic:cNvPicPr>
                      <a:picLocks noChangeAspect="1"/>
                    </pic:cNvPicPr>
                  </pic:nvPicPr>
                  <pic:blipFill>
                    <a:blip r:embed="rId6"/>
                    <a:stretch>
                      <a:fillRect/>
                    </a:stretch>
                  </pic:blipFill>
                  <pic:spPr>
                    <a:xfrm>
                      <a:off x="0" y="0"/>
                      <a:ext cx="4210050" cy="2091690"/>
                    </a:xfrm>
                    <a:prstGeom prst="rect">
                      <a:avLst/>
                    </a:prstGeom>
                    <a:noFill/>
                    <a:ln w="9525">
                      <a:noFill/>
                    </a:ln>
                  </pic:spPr>
                </pic:pic>
              </a:graphicData>
            </a:graphic>
          </wp:inline>
        </w:drawing>
      </w:r>
    </w:p>
    <w:p w14:paraId="4CE45F84">
      <w:pPr>
        <w:pStyle w:val="5"/>
        <w:keepNext w:val="0"/>
        <w:keepLines w:val="0"/>
        <w:widowControl/>
        <w:suppressLineNumbers w:val="0"/>
        <w:spacing w:before="0" w:beforeAutospacing="0" w:after="150" w:afterAutospacing="0" w:line="600" w:lineRule="atLeast"/>
        <w:ind w:right="0" w:firstLine="840" w:firstLineChars="300"/>
      </w:pPr>
      <w:r>
        <w:rPr>
          <w:rFonts w:hint="eastAsia" w:ascii="宋体" w:hAnsi="宋体" w:eastAsia="宋体" w:cs="宋体"/>
          <w:sz w:val="28"/>
          <w:szCs w:val="28"/>
        </w:rPr>
        <w:t>（3）纸箱为双瓦楞纸，箱外需打井字型打包带，便于搬运。</w:t>
      </w:r>
    </w:p>
    <w:p w14:paraId="520F9DF0">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（4）每个纸箱内需附产品检验单一张，检验单样式见《图3 检验单》。其中“检验单”、“产品名 称”、“品等”、“生产日期”、“检验人员”和“承制单位名 称”标题为黑体字，其他为宋体字。检验单尺寸为B5纸的1/4。字体大小适宜。</w:t>
      </w:r>
    </w:p>
    <w:p w14:paraId="0F319557">
      <w:pPr>
        <w:pStyle w:val="5"/>
        <w:keepNext w:val="0"/>
        <w:keepLines w:val="0"/>
        <w:widowControl/>
        <w:suppressLineNumbers w:val="0"/>
        <w:spacing w:before="0" w:beforeAutospacing="0" w:after="150" w:afterAutospacing="0"/>
        <w:ind w:left="0" w:right="0"/>
        <w:jc w:val="center"/>
      </w:pPr>
      <w:r>
        <w:drawing>
          <wp:inline distT="0" distB="0" distL="114300" distR="114300">
            <wp:extent cx="3362325" cy="2009775"/>
            <wp:effectExtent l="0" t="0" r="9525" b="9525"/>
            <wp:docPr id="30" name="图片 30" descr="1562145754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62145754341.png"/>
                    <pic:cNvPicPr>
                      <a:picLocks noChangeAspect="1"/>
                    </pic:cNvPicPr>
                  </pic:nvPicPr>
                  <pic:blipFill>
                    <a:blip r:embed="rId22"/>
                    <a:stretch>
                      <a:fillRect/>
                    </a:stretch>
                  </pic:blipFill>
                  <pic:spPr>
                    <a:xfrm>
                      <a:off x="0" y="0"/>
                      <a:ext cx="3362325" cy="2009775"/>
                    </a:xfrm>
                    <a:prstGeom prst="rect">
                      <a:avLst/>
                    </a:prstGeom>
                    <a:noFill/>
                    <a:ln w="9525">
                      <a:noFill/>
                    </a:ln>
                  </pic:spPr>
                </pic:pic>
              </a:graphicData>
            </a:graphic>
          </wp:inline>
        </w:drawing>
      </w:r>
    </w:p>
    <w:p w14:paraId="138431B5">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71C68E8A">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608E5A2B">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1B75CD53">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08831D6D">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34424D45">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3E296BD6">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65D2F01D">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276848B1">
      <w:pPr>
        <w:pStyle w:val="5"/>
        <w:keepNext w:val="0"/>
        <w:keepLines w:val="0"/>
        <w:widowControl/>
        <w:suppressLineNumbers w:val="0"/>
        <w:spacing w:before="0" w:beforeAutospacing="0" w:after="150" w:afterAutospacing="0" w:line="555" w:lineRule="atLeast"/>
        <w:ind w:left="0" w:right="0" w:firstLine="555"/>
        <w:rPr>
          <w:rFonts w:hint="eastAsia" w:ascii="黑体" w:hAnsi="宋体" w:eastAsia="黑体" w:cs="黑体"/>
          <w:sz w:val="28"/>
          <w:szCs w:val="28"/>
          <w:shd w:val="clear" w:fill="FFFFFF"/>
        </w:rPr>
      </w:pPr>
    </w:p>
    <w:p w14:paraId="5777B055">
      <w:pPr>
        <w:pStyle w:val="5"/>
        <w:keepNext w:val="0"/>
        <w:keepLines w:val="0"/>
        <w:widowControl/>
        <w:suppressLineNumbers w:val="0"/>
        <w:spacing w:before="0" w:beforeAutospacing="0" w:after="150" w:afterAutospacing="0" w:line="555" w:lineRule="atLeast"/>
        <w:ind w:left="0" w:right="0" w:firstLine="555"/>
      </w:pPr>
      <w:r>
        <w:rPr>
          <w:rFonts w:hint="eastAsia" w:ascii="黑体" w:hAnsi="宋体" w:eastAsia="黑体" w:cs="黑体"/>
          <w:sz w:val="28"/>
          <w:szCs w:val="28"/>
          <w:shd w:val="clear" w:fill="FFFFFF"/>
        </w:rPr>
        <w:t>合同包7:3KG棉被</w:t>
      </w:r>
    </w:p>
    <w:p w14:paraId="71C45D68">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1.被套: 重1千克，长2150mm±3%，宽为1500mm±3%；面料32/32，颜色不能为单色，要求有花纹或印花；成分含量：棉80%±5，涤20%±5；缝制被套针脚均匀；在成品宽度一端安装95-100CM4#尼龙拉链一条。</w:t>
      </w:r>
    </w:p>
    <w:p w14:paraId="0BC55E71">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2.棉胎：重3千克，长2100mm，宽1500mm；成分含量：</w:t>
      </w:r>
      <w:r>
        <w:rPr>
          <w:rFonts w:hint="eastAsia" w:ascii="宋体" w:hAnsi="宋体" w:eastAsia="宋体" w:cs="宋体"/>
          <w:sz w:val="28"/>
          <w:szCs w:val="28"/>
          <w:shd w:val="clear" w:fill="FFFFFF"/>
        </w:rPr>
        <w:t>棉100%，</w:t>
      </w:r>
      <w:r>
        <w:rPr>
          <w:rFonts w:hint="eastAsia" w:ascii="宋体" w:hAnsi="宋体" w:eastAsia="宋体" w:cs="宋体"/>
          <w:sz w:val="28"/>
          <w:szCs w:val="28"/>
        </w:rPr>
        <w:t>棉花颜色级为白棉三级。</w:t>
      </w:r>
    </w:p>
    <w:p w14:paraId="33C1B565">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3.提供所投产品2019年经省 级及以上检测机构出具的检测报告复印件（加盖公章），原件备查。检测依据为GB/T22796-2009(一等品)、GB18401-2010（B类）、GB18383-2007及招标文件有关要求,检测项目必须有：被套（重量、尺寸、纤维含量、PH值、甲醛含量、可分解致癌芳香胺染料、耐干摩擦色牢度），棉胎（重量、尺寸、纤维含量、颜色级）。未提供检测报告或检测报告内的检测项目未达到招标文件要求的，视为投标无效</w:t>
      </w:r>
    </w:p>
    <w:p w14:paraId="6C0F0E88">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4.包装：8床每包。外包装为单面复膜型聚丙烯编织布，符合GB/T 2918—1998标准要求。编织布结合处用Φ0.2cm绳缝合牢固，用Φ0.7cm麻绳捆扎成“卅”型，横竖均为双道。外包装内衬牛皮纸。</w:t>
      </w:r>
    </w:p>
    <w:p w14:paraId="30170A27">
      <w:pPr>
        <w:pStyle w:val="5"/>
        <w:keepNext w:val="0"/>
        <w:keepLines w:val="0"/>
        <w:widowControl/>
        <w:suppressLineNumbers w:val="0"/>
        <w:spacing w:before="0" w:beforeAutospacing="0" w:after="150" w:afterAutospacing="0" w:line="555" w:lineRule="atLeast"/>
        <w:ind w:left="0" w:right="0" w:firstLine="555"/>
      </w:pPr>
      <w:r>
        <w:rPr>
          <w:rFonts w:hint="eastAsia" w:ascii="宋体" w:hAnsi="宋体" w:eastAsia="宋体" w:cs="宋体"/>
          <w:sz w:val="28"/>
          <w:szCs w:val="28"/>
        </w:rPr>
        <w:t>5.样品：（被套、棉胎）、外包装（单面复膜型聚丙烯编织布、内衬牛皮纸、Φ0.7cm麻绳（长度≥10㎝）、Φ0.2cm绳（长度≥10㎝））。未提供样品视为投标无效。</w:t>
      </w:r>
    </w:p>
    <w:p w14:paraId="5C0FE847">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6.包装印刷机其他要求：外包装正面需印刷黑色的产品名 称、数量、质量、体积、生产年月、型号、承制单位名 称。其中产品名 称、承制单位名 称为黑体字，其他为宋体字。产品名 称前加“救灾”二字且字体宽度为60mm，其他字体宽度为35mm，承制单位名 称字体大小可根据单位名 称字数酌情选择，参 考图见《图1：外包装印刷示意图》。</w:t>
      </w:r>
    </w:p>
    <w:p w14:paraId="54B089CF">
      <w:pPr>
        <w:pStyle w:val="5"/>
        <w:keepNext w:val="0"/>
        <w:keepLines w:val="0"/>
        <w:widowControl/>
        <w:suppressLineNumbers w:val="0"/>
        <w:spacing w:before="0" w:beforeAutospacing="0" w:after="150" w:afterAutospacing="0"/>
        <w:ind w:left="0" w:right="0"/>
      </w:pPr>
      <w:r>
        <w:drawing>
          <wp:inline distT="0" distB="0" distL="114300" distR="114300">
            <wp:extent cx="4038600" cy="2943225"/>
            <wp:effectExtent l="0" t="0" r="0" b="9525"/>
            <wp:docPr id="31" name="图片 31" descr="156214578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562145781720.png"/>
                    <pic:cNvPicPr>
                      <a:picLocks noChangeAspect="1"/>
                    </pic:cNvPicPr>
                  </pic:nvPicPr>
                  <pic:blipFill>
                    <a:blip r:embed="rId5"/>
                    <a:stretch>
                      <a:fillRect/>
                    </a:stretch>
                  </pic:blipFill>
                  <pic:spPr>
                    <a:xfrm>
                      <a:off x="0" y="0"/>
                      <a:ext cx="4038600" cy="2943225"/>
                    </a:xfrm>
                    <a:prstGeom prst="rect">
                      <a:avLst/>
                    </a:prstGeom>
                    <a:noFill/>
                    <a:ln w="9525">
                      <a:noFill/>
                    </a:ln>
                  </pic:spPr>
                </pic:pic>
              </a:graphicData>
            </a:graphic>
          </wp:inline>
        </w:drawing>
      </w:r>
    </w:p>
    <w:p w14:paraId="105D9949">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r>
        <w:rPr>
          <w:rFonts w:hint="eastAsia" w:ascii="宋体" w:hAnsi="宋体" w:eastAsia="宋体" w:cs="宋体"/>
          <w:sz w:val="28"/>
          <w:szCs w:val="28"/>
        </w:rPr>
        <w:t xml:space="preserve">    </w:t>
      </w:r>
    </w:p>
    <w:p w14:paraId="4A31DD4F">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27735170">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6D12BE92">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20DA2BDB">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3471AD7F">
      <w:pPr>
        <w:pStyle w:val="5"/>
        <w:keepNext w:val="0"/>
        <w:keepLines w:val="0"/>
        <w:widowControl/>
        <w:suppressLineNumbers w:val="0"/>
        <w:spacing w:before="0" w:beforeAutospacing="0" w:after="150" w:afterAutospacing="0"/>
        <w:ind w:left="0" w:right="0"/>
        <w:rPr>
          <w:rFonts w:hint="eastAsia" w:ascii="宋体" w:hAnsi="宋体" w:eastAsia="宋体" w:cs="宋体"/>
          <w:sz w:val="28"/>
          <w:szCs w:val="28"/>
        </w:rPr>
      </w:pPr>
    </w:p>
    <w:p w14:paraId="201E1172">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00" w:lineRule="exact"/>
        <w:ind w:left="0" w:right="0" w:firstLine="840" w:firstLineChars="300"/>
        <w:textAlignment w:val="auto"/>
      </w:pPr>
      <w:r>
        <w:rPr>
          <w:rFonts w:hint="eastAsia" w:ascii="宋体" w:hAnsi="宋体" w:eastAsia="宋体" w:cs="宋体"/>
          <w:sz w:val="28"/>
          <w:szCs w:val="28"/>
        </w:rPr>
        <w:t>（1）外包装最小面一侧左上角需挂上挂签，挂签整体长度不小于250mm，挂签面板宽度不小于58mm，长度不小于100mm。挂签面板上需贴上电子标签，电子标签为纸质超高频电子标签，长度为100mm，宽度为50mm。电子标签编码规则在合同签订后由采购人提供，空白电子标签由中标人提供，电子标签打印采购人可协助，电子标签需由中标人在物资卸货时负责粘贴。中标人应严格按照要求粘贴电子标签，保证电子标签平整、美观、无损坏。空白电子标签及挂签采购、打印、粘贴等产生的费用由中标人承担，包含在投标价中。电子标签参 考见《图2：电子标签示意图》，挂签参 考图见《图3：挂签示意图》。</w:t>
      </w:r>
    </w:p>
    <w:p w14:paraId="7503C955">
      <w:pPr>
        <w:pStyle w:val="5"/>
        <w:keepNext w:val="0"/>
        <w:keepLines w:val="0"/>
        <w:widowControl/>
        <w:suppressLineNumbers w:val="0"/>
        <w:spacing w:before="0" w:beforeAutospacing="0" w:after="150" w:afterAutospacing="0"/>
        <w:ind w:left="0" w:right="0"/>
        <w:jc w:val="center"/>
      </w:pPr>
      <w:r>
        <w:drawing>
          <wp:inline distT="0" distB="0" distL="114300" distR="114300">
            <wp:extent cx="4305300" cy="2486025"/>
            <wp:effectExtent l="0" t="0" r="0" b="9525"/>
            <wp:docPr id="32" name="图片 32" descr="1562145806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62145806058.png"/>
                    <pic:cNvPicPr>
                      <a:picLocks noChangeAspect="1"/>
                    </pic:cNvPicPr>
                  </pic:nvPicPr>
                  <pic:blipFill>
                    <a:blip r:embed="rId23"/>
                    <a:stretch>
                      <a:fillRect/>
                    </a:stretch>
                  </pic:blipFill>
                  <pic:spPr>
                    <a:xfrm>
                      <a:off x="0" y="0"/>
                      <a:ext cx="4305300" cy="2486025"/>
                    </a:xfrm>
                    <a:prstGeom prst="rect">
                      <a:avLst/>
                    </a:prstGeom>
                    <a:noFill/>
                    <a:ln w="9525">
                      <a:noFill/>
                    </a:ln>
                  </pic:spPr>
                </pic:pic>
              </a:graphicData>
            </a:graphic>
          </wp:inline>
        </w:drawing>
      </w:r>
      <w:r>
        <w:br w:type="textWrapping"/>
      </w:r>
      <w:r>
        <w:drawing>
          <wp:inline distT="0" distB="0" distL="114300" distR="114300">
            <wp:extent cx="5267325" cy="3162300"/>
            <wp:effectExtent l="0" t="0" r="9525" b="0"/>
            <wp:docPr id="33" name="图片 33" descr="1562145823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562145823875.png"/>
                    <pic:cNvPicPr>
                      <a:picLocks noChangeAspect="1"/>
                    </pic:cNvPicPr>
                  </pic:nvPicPr>
                  <pic:blipFill>
                    <a:blip r:embed="rId24"/>
                    <a:stretch>
                      <a:fillRect/>
                    </a:stretch>
                  </pic:blipFill>
                  <pic:spPr>
                    <a:xfrm>
                      <a:off x="0" y="0"/>
                      <a:ext cx="5267325" cy="3162300"/>
                    </a:xfrm>
                    <a:prstGeom prst="rect">
                      <a:avLst/>
                    </a:prstGeom>
                    <a:noFill/>
                    <a:ln w="9525">
                      <a:noFill/>
                    </a:ln>
                  </pic:spPr>
                </pic:pic>
              </a:graphicData>
            </a:graphic>
          </wp:inline>
        </w:drawing>
      </w:r>
    </w:p>
    <w:p w14:paraId="7EBE9634">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    （2）每包内需附产品检验单一张，检验单样式见《图4检验单》。其中“检验单”、“产品名 称”、“品等”、“生产日期”、“检验人员”和“承制单位名 称”标题为黑体字，其他为宋体字。检验单尺寸为B5纸的1/4。字体大小适宜。</w:t>
      </w:r>
    </w:p>
    <w:p w14:paraId="6D827D9A">
      <w:pPr>
        <w:pStyle w:val="5"/>
        <w:keepNext w:val="0"/>
        <w:keepLines w:val="0"/>
        <w:widowControl/>
        <w:suppressLineNumbers w:val="0"/>
        <w:spacing w:before="0" w:beforeAutospacing="0" w:after="240" w:afterAutospacing="0"/>
        <w:ind w:left="0" w:right="0"/>
        <w:jc w:val="center"/>
      </w:pPr>
      <w:r>
        <w:drawing>
          <wp:inline distT="0" distB="0" distL="114300" distR="114300">
            <wp:extent cx="2647950" cy="3114675"/>
            <wp:effectExtent l="0" t="0" r="0" b="9525"/>
            <wp:docPr id="34" name="图片 34" descr="1562145853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562145853472.png"/>
                    <pic:cNvPicPr>
                      <a:picLocks noChangeAspect="1"/>
                    </pic:cNvPicPr>
                  </pic:nvPicPr>
                  <pic:blipFill>
                    <a:blip r:embed="rId25"/>
                    <a:stretch>
                      <a:fillRect/>
                    </a:stretch>
                  </pic:blipFill>
                  <pic:spPr>
                    <a:xfrm>
                      <a:off x="0" y="0"/>
                      <a:ext cx="2647950" cy="3114675"/>
                    </a:xfrm>
                    <a:prstGeom prst="rect">
                      <a:avLst/>
                    </a:prstGeom>
                    <a:noFill/>
                    <a:ln w="9525">
                      <a:noFill/>
                    </a:ln>
                  </pic:spPr>
                </pic:pic>
              </a:graphicData>
            </a:graphic>
          </wp:inline>
        </w:drawing>
      </w:r>
    </w:p>
    <w:p w14:paraId="66B129A5">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注：合同包1至合同包</w:t>
      </w:r>
      <w:r>
        <w:rPr>
          <w:rStyle w:val="8"/>
          <w:rFonts w:hint="default" w:ascii="Calibri" w:hAnsi="Calibri" w:cs="Calibri"/>
          <w:b/>
          <w:sz w:val="21"/>
          <w:szCs w:val="21"/>
        </w:rPr>
        <w:t>7</w:t>
      </w:r>
      <w:r>
        <w:rPr>
          <w:rStyle w:val="8"/>
          <w:rFonts w:hint="eastAsia" w:ascii="宋体" w:hAnsi="宋体" w:eastAsia="宋体" w:cs="宋体"/>
          <w:b/>
          <w:sz w:val="21"/>
          <w:szCs w:val="21"/>
        </w:rPr>
        <w:t>产品技术参数中的规格尺寸、长度、宽度、厚度、高度等未注明偏离值的，允许±</w:t>
      </w:r>
      <w:r>
        <w:rPr>
          <w:rStyle w:val="8"/>
          <w:rFonts w:hint="default" w:ascii="Calibri" w:hAnsi="Calibri" w:cs="Calibri"/>
          <w:b/>
          <w:sz w:val="21"/>
          <w:szCs w:val="21"/>
        </w:rPr>
        <w:t>2%</w:t>
      </w:r>
      <w:r>
        <w:rPr>
          <w:rStyle w:val="8"/>
          <w:rFonts w:hint="eastAsia" w:ascii="宋体" w:hAnsi="宋体" w:eastAsia="宋体" w:cs="宋体"/>
          <w:b/>
          <w:sz w:val="21"/>
          <w:szCs w:val="21"/>
        </w:rPr>
        <w:t>偏离。</w:t>
      </w:r>
    </w:p>
    <w:p w14:paraId="3A2CCE8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38B16F51">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4EEB2AD4">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B0F8188">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780334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44B7C8E4">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D7B45A1">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6DB41F66">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0378FF72">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31EBFB4">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6C5B7E2E">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D842676">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4C3515EA">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6CA4D58">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三、商务条件</w:t>
      </w:r>
      <w:r>
        <w:rPr>
          <w:rStyle w:val="8"/>
          <w:rFonts w:hint="eastAsia" w:ascii="宋体" w:hAnsi="宋体" w:eastAsia="宋体" w:cs="宋体"/>
          <w:b/>
          <w:spacing w:val="0"/>
          <w:sz w:val="24"/>
          <w:szCs w:val="24"/>
        </w:rPr>
        <w:t>（以“★”标示的内容为不允许负偏离的实质性要求）</w:t>
      </w:r>
    </w:p>
    <w:p w14:paraId="467634CF">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包：1</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1、交付地点：福建省福州市连江县丹阳镇桂林村省救灾物资储备中心 </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2、交付时间：合同签订后，中标供应商在45个日历日内交货并通过采购人验收</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3、交付条件：通过采购人验收</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4、是否收取履约保证金：否</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5、是否邀请投标人参与验收：否</w:t>
      </w:r>
      <w:r>
        <w:rPr>
          <w:rStyle w:val="8"/>
          <w:rFonts w:hint="eastAsia" w:ascii="宋体" w:hAnsi="宋体" w:eastAsia="宋体" w:cs="宋体"/>
          <w:b/>
          <w:spacing w:val="0"/>
          <w:sz w:val="24"/>
          <w:szCs w:val="24"/>
        </w:rPr>
        <w:br w:type="textWrapping"/>
      </w:r>
      <w:r>
        <w:rPr>
          <w:rStyle w:val="8"/>
          <w:rFonts w:hint="eastAsia" w:ascii="宋体" w:hAnsi="宋体" w:eastAsia="宋体" w:cs="宋体"/>
          <w:b/>
          <w:spacing w:val="0"/>
          <w:sz w:val="24"/>
          <w:szCs w:val="24"/>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3DC2608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D099CB4">
            <w:pPr>
              <w:keepNext w:val="0"/>
              <w:keepLines w:val="0"/>
              <w:widowControl/>
              <w:suppressLineNumbers w:val="0"/>
              <w:jc w:val="center"/>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07730414">
            <w:pPr>
              <w:keepNext w:val="0"/>
              <w:keepLines w:val="0"/>
              <w:widowControl/>
              <w:suppressLineNumbers w:val="0"/>
              <w:jc w:val="center"/>
            </w:pPr>
            <w:r>
              <w:rPr>
                <w:rFonts w:ascii="宋体" w:hAnsi="宋体" w:eastAsia="宋体" w:cs="宋体"/>
                <w:kern w:val="0"/>
                <w:sz w:val="24"/>
                <w:szCs w:val="24"/>
                <w:lang w:val="en-US" w:eastAsia="zh-CN" w:bidi="ar"/>
              </w:rPr>
              <w:t>验收期次说明</w:t>
            </w:r>
          </w:p>
        </w:tc>
      </w:tr>
      <w:tr w14:paraId="43F3AE8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6108CD6">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707D4F42">
            <w:pPr>
              <w:keepNext w:val="0"/>
              <w:keepLines w:val="0"/>
              <w:widowControl/>
              <w:suppressLineNumbers w:val="0"/>
              <w:jc w:val="left"/>
              <w:rPr>
                <w:color w:val="FF0000"/>
                <w:highlight w:val="none"/>
              </w:rPr>
            </w:pPr>
            <w:r>
              <w:rPr>
                <w:rFonts w:ascii="宋体" w:hAnsi="宋体" w:eastAsia="宋体" w:cs="宋体"/>
                <w:color w:val="FF0000"/>
                <w:kern w:val="0"/>
                <w:sz w:val="24"/>
                <w:szCs w:val="24"/>
                <w:highlight w:val="none"/>
                <w:lang w:val="en-US" w:eastAsia="zh-CN" w:bidi="ar"/>
              </w:rPr>
              <w:t>初验收：由中标人和采购人共同对货物的数量、质量、外包装等根据本招标文件的有关规定逐项检验。</w:t>
            </w:r>
          </w:p>
        </w:tc>
      </w:tr>
      <w:tr w14:paraId="674929B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079CD00B">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5B77E277">
            <w:pPr>
              <w:keepNext w:val="0"/>
              <w:keepLines w:val="0"/>
              <w:widowControl/>
              <w:suppressLineNumbers w:val="0"/>
              <w:jc w:val="left"/>
              <w:rPr>
                <w:color w:val="FF0000"/>
                <w:highlight w:val="none"/>
              </w:rPr>
            </w:pPr>
            <w:r>
              <w:rPr>
                <w:rFonts w:ascii="宋体" w:hAnsi="宋体" w:eastAsia="宋体" w:cs="宋体"/>
                <w:color w:val="FF0000"/>
                <w:kern w:val="0"/>
                <w:sz w:val="24"/>
                <w:szCs w:val="24"/>
                <w:highlight w:val="none"/>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7775FD1D">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74BC298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6A588E8">
            <w:pPr>
              <w:keepNext w:val="0"/>
              <w:keepLines w:val="0"/>
              <w:widowControl/>
              <w:suppressLineNumbers w:val="0"/>
              <w:jc w:val="center"/>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073CF548">
            <w:pPr>
              <w:keepNext w:val="0"/>
              <w:keepLines w:val="0"/>
              <w:widowControl/>
              <w:suppressLineNumbers w:val="0"/>
              <w:jc w:val="center"/>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65CE4436">
            <w:pPr>
              <w:keepNext w:val="0"/>
              <w:keepLines w:val="0"/>
              <w:widowControl/>
              <w:suppressLineNumbers w:val="0"/>
              <w:jc w:val="center"/>
            </w:pPr>
            <w:r>
              <w:rPr>
                <w:rFonts w:ascii="宋体" w:hAnsi="宋体" w:eastAsia="宋体" w:cs="宋体"/>
                <w:kern w:val="0"/>
                <w:sz w:val="24"/>
                <w:szCs w:val="24"/>
                <w:lang w:val="en-US" w:eastAsia="zh-CN" w:bidi="ar"/>
              </w:rPr>
              <w:t>支付期次说明</w:t>
            </w:r>
          </w:p>
        </w:tc>
      </w:tr>
      <w:tr w14:paraId="19B262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E68862C">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2A4AA14B">
            <w:pPr>
              <w:keepNext w:val="0"/>
              <w:keepLines w:val="0"/>
              <w:widowControl/>
              <w:suppressLineNumbers w:val="0"/>
              <w:jc w:val="center"/>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7F588A92">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3F64B2B5">
      <w:pPr>
        <w:keepNext w:val="0"/>
        <w:keepLines w:val="0"/>
        <w:widowControl/>
        <w:suppressLineNumbers w:val="0"/>
        <w:jc w:val="left"/>
      </w:pPr>
      <w:r>
        <w:rPr>
          <w:rStyle w:val="8"/>
          <w:rFonts w:ascii="宋体" w:hAnsi="宋体" w:eastAsia="宋体" w:cs="宋体"/>
          <w:b/>
          <w:kern w:val="0"/>
          <w:sz w:val="24"/>
          <w:szCs w:val="24"/>
          <w:lang w:val="en-US" w:eastAsia="zh-CN" w:bidi="ar"/>
        </w:rPr>
        <w:t>包：2</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685A1A9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7CB7063">
            <w:pPr>
              <w:keepNext w:val="0"/>
              <w:keepLines w:val="0"/>
              <w:widowControl/>
              <w:suppressLineNumbers w:val="0"/>
              <w:jc w:val="center"/>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3344B35D">
            <w:pPr>
              <w:keepNext w:val="0"/>
              <w:keepLines w:val="0"/>
              <w:widowControl/>
              <w:suppressLineNumbers w:val="0"/>
              <w:jc w:val="center"/>
            </w:pPr>
            <w:r>
              <w:rPr>
                <w:rFonts w:ascii="宋体" w:hAnsi="宋体" w:eastAsia="宋体" w:cs="宋体"/>
                <w:kern w:val="0"/>
                <w:sz w:val="24"/>
                <w:szCs w:val="24"/>
                <w:lang w:val="en-US" w:eastAsia="zh-CN" w:bidi="ar"/>
              </w:rPr>
              <w:t>验收期次说明</w:t>
            </w:r>
          </w:p>
        </w:tc>
      </w:tr>
      <w:tr w14:paraId="5829A6F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47028FA5">
            <w:pPr>
              <w:keepNext w:val="0"/>
              <w:keepLines w:val="0"/>
              <w:widowControl/>
              <w:suppressLineNumbers w:val="0"/>
              <w:jc w:val="center"/>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083CF77D">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176F3F9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35172612">
            <w:pPr>
              <w:keepNext w:val="0"/>
              <w:keepLines w:val="0"/>
              <w:widowControl/>
              <w:suppressLineNumbers w:val="0"/>
              <w:jc w:val="center"/>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57C73CA1">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49FDAA68">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1CAC05E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B3249EB">
            <w:pPr>
              <w:keepNext w:val="0"/>
              <w:keepLines w:val="0"/>
              <w:widowControl/>
              <w:suppressLineNumbers w:val="0"/>
              <w:jc w:val="center"/>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267FA631">
            <w:pPr>
              <w:keepNext w:val="0"/>
              <w:keepLines w:val="0"/>
              <w:widowControl/>
              <w:suppressLineNumbers w:val="0"/>
              <w:jc w:val="center"/>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48F7207C">
            <w:pPr>
              <w:keepNext w:val="0"/>
              <w:keepLines w:val="0"/>
              <w:widowControl/>
              <w:suppressLineNumbers w:val="0"/>
              <w:jc w:val="center"/>
            </w:pPr>
            <w:r>
              <w:rPr>
                <w:rFonts w:ascii="宋体" w:hAnsi="宋体" w:eastAsia="宋体" w:cs="宋体"/>
                <w:kern w:val="0"/>
                <w:sz w:val="24"/>
                <w:szCs w:val="24"/>
                <w:lang w:val="en-US" w:eastAsia="zh-CN" w:bidi="ar"/>
              </w:rPr>
              <w:t>支付期次说明</w:t>
            </w:r>
          </w:p>
        </w:tc>
      </w:tr>
      <w:tr w14:paraId="1B6476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61C60C6">
            <w:pPr>
              <w:keepNext w:val="0"/>
              <w:keepLines w:val="0"/>
              <w:widowControl/>
              <w:suppressLineNumbers w:val="0"/>
              <w:jc w:val="center"/>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59CA2596">
            <w:pPr>
              <w:keepNext w:val="0"/>
              <w:keepLines w:val="0"/>
              <w:widowControl/>
              <w:suppressLineNumbers w:val="0"/>
              <w:jc w:val="center"/>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46A8D2A4">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6BEE5F85">
      <w:pPr>
        <w:keepNext w:val="0"/>
        <w:keepLines w:val="0"/>
        <w:widowControl/>
        <w:suppressLineNumbers w:val="0"/>
        <w:jc w:val="left"/>
        <w:rPr>
          <w:rStyle w:val="8"/>
          <w:rFonts w:ascii="宋体" w:hAnsi="宋体" w:eastAsia="宋体" w:cs="宋体"/>
          <w:b/>
          <w:kern w:val="0"/>
          <w:sz w:val="24"/>
          <w:szCs w:val="24"/>
          <w:lang w:val="en-US" w:eastAsia="zh-CN" w:bidi="ar"/>
        </w:rPr>
      </w:pPr>
    </w:p>
    <w:p w14:paraId="1D8AE577">
      <w:pPr>
        <w:keepNext w:val="0"/>
        <w:keepLines w:val="0"/>
        <w:widowControl/>
        <w:suppressLineNumbers w:val="0"/>
        <w:jc w:val="left"/>
      </w:pPr>
      <w:r>
        <w:rPr>
          <w:rStyle w:val="8"/>
          <w:rFonts w:ascii="宋体" w:hAnsi="宋体" w:eastAsia="宋体" w:cs="宋体"/>
          <w:b/>
          <w:kern w:val="0"/>
          <w:sz w:val="24"/>
          <w:szCs w:val="24"/>
          <w:lang w:val="en-US" w:eastAsia="zh-CN" w:bidi="ar"/>
        </w:rPr>
        <w:t>包：3</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576A47D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297B0EA">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23A28BD2">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24BA185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F6F0E03">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4254EC86">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0E30B7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A306D10">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28E140AC">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61F45941">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5DABC8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7549849">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348E68F9">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5E4DF60A">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7A7812B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170612E">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7CFC7297">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5116BCDB">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66265644">
      <w:pPr>
        <w:keepNext w:val="0"/>
        <w:keepLines w:val="0"/>
        <w:widowControl/>
        <w:suppressLineNumbers w:val="0"/>
        <w:jc w:val="left"/>
      </w:pPr>
      <w:r>
        <w:rPr>
          <w:rStyle w:val="8"/>
          <w:rFonts w:ascii="宋体" w:hAnsi="宋体" w:eastAsia="宋体" w:cs="宋体"/>
          <w:b/>
          <w:kern w:val="0"/>
          <w:sz w:val="24"/>
          <w:szCs w:val="24"/>
          <w:lang w:val="en-US" w:eastAsia="zh-CN" w:bidi="ar"/>
        </w:rPr>
        <w:t>包：4</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4BC0B68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4B80F722">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6272C173">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5C60DC9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D1AC1C0">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421D5C12">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0E0134A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BB47BB8">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1A2A5719">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4626A6AF">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5CD7D7F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065EA9C3">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1B378A9C">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47A0CCD8">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0C39A23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D756A22">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416B8FB6">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13E81400">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3510C687">
      <w:pPr>
        <w:keepNext w:val="0"/>
        <w:keepLines w:val="0"/>
        <w:widowControl/>
        <w:suppressLineNumbers w:val="0"/>
        <w:jc w:val="left"/>
        <w:rPr>
          <w:rStyle w:val="8"/>
          <w:rFonts w:ascii="宋体" w:hAnsi="宋体" w:eastAsia="宋体" w:cs="宋体"/>
          <w:b/>
          <w:kern w:val="0"/>
          <w:sz w:val="24"/>
          <w:szCs w:val="24"/>
          <w:lang w:val="en-US" w:eastAsia="zh-CN" w:bidi="ar"/>
        </w:rPr>
      </w:pPr>
    </w:p>
    <w:p w14:paraId="125C0120">
      <w:pPr>
        <w:keepNext w:val="0"/>
        <w:keepLines w:val="0"/>
        <w:widowControl/>
        <w:suppressLineNumbers w:val="0"/>
        <w:jc w:val="left"/>
        <w:rPr>
          <w:rStyle w:val="8"/>
          <w:rFonts w:ascii="宋体" w:hAnsi="宋体" w:eastAsia="宋体" w:cs="宋体"/>
          <w:b/>
          <w:kern w:val="0"/>
          <w:sz w:val="24"/>
          <w:szCs w:val="24"/>
          <w:lang w:val="en-US" w:eastAsia="zh-CN" w:bidi="ar"/>
        </w:rPr>
      </w:pPr>
    </w:p>
    <w:p w14:paraId="16B7444D">
      <w:pPr>
        <w:keepNext w:val="0"/>
        <w:keepLines w:val="0"/>
        <w:widowControl/>
        <w:suppressLineNumbers w:val="0"/>
        <w:jc w:val="left"/>
        <w:rPr>
          <w:rStyle w:val="8"/>
          <w:rFonts w:ascii="宋体" w:hAnsi="宋体" w:eastAsia="宋体" w:cs="宋体"/>
          <w:b/>
          <w:kern w:val="0"/>
          <w:sz w:val="24"/>
          <w:szCs w:val="24"/>
          <w:lang w:val="en-US" w:eastAsia="zh-CN" w:bidi="ar"/>
        </w:rPr>
      </w:pPr>
    </w:p>
    <w:p w14:paraId="1CC68CD5">
      <w:pPr>
        <w:keepNext w:val="0"/>
        <w:keepLines w:val="0"/>
        <w:widowControl/>
        <w:suppressLineNumbers w:val="0"/>
        <w:jc w:val="left"/>
      </w:pPr>
      <w:r>
        <w:rPr>
          <w:rStyle w:val="8"/>
          <w:rFonts w:ascii="宋体" w:hAnsi="宋体" w:eastAsia="宋体" w:cs="宋体"/>
          <w:b/>
          <w:kern w:val="0"/>
          <w:sz w:val="24"/>
          <w:szCs w:val="24"/>
          <w:lang w:val="en-US" w:eastAsia="zh-CN" w:bidi="ar"/>
        </w:rPr>
        <w:t>包：5</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1291ED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FCCAD77">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64D49A74">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16B8406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0D40430">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2DFE0795">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56F385F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3D2E3FEA">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58A34D48">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2A80B9BE">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702DAB1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F1BD834">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5A833AD5">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12E7938D">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2071AC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F9762C7">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309EC2FB">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63A276F8">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11025F8F">
      <w:pPr>
        <w:keepNext w:val="0"/>
        <w:keepLines w:val="0"/>
        <w:widowControl/>
        <w:suppressLineNumbers w:val="0"/>
        <w:jc w:val="left"/>
      </w:pPr>
      <w:r>
        <w:rPr>
          <w:rStyle w:val="8"/>
          <w:rFonts w:ascii="宋体" w:hAnsi="宋体" w:eastAsia="宋体" w:cs="宋体"/>
          <w:b/>
          <w:kern w:val="0"/>
          <w:sz w:val="24"/>
          <w:szCs w:val="24"/>
          <w:lang w:val="en-US" w:eastAsia="zh-CN" w:bidi="ar"/>
        </w:rPr>
        <w:t>包：6</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205DA5F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544A5BD4">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669812AE">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6422891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FF1725A">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61826E58">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1DFC91D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5BB7A0D0">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103A974A">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6F660898">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6A43C1F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2612B03">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58C8E11C">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2AB9EBB8">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094F0DD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6B3CD5C5">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60FC39B9">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3CEA85A4">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30E53762">
      <w:pPr>
        <w:keepNext w:val="0"/>
        <w:keepLines w:val="0"/>
        <w:widowControl/>
        <w:suppressLineNumbers w:val="0"/>
        <w:jc w:val="left"/>
        <w:rPr>
          <w:rStyle w:val="8"/>
          <w:rFonts w:ascii="宋体" w:hAnsi="宋体" w:eastAsia="宋体" w:cs="宋体"/>
          <w:b/>
          <w:kern w:val="0"/>
          <w:sz w:val="24"/>
          <w:szCs w:val="24"/>
          <w:lang w:val="en-US" w:eastAsia="zh-CN" w:bidi="ar"/>
        </w:rPr>
      </w:pPr>
    </w:p>
    <w:p w14:paraId="1B4A57E8">
      <w:pPr>
        <w:keepNext w:val="0"/>
        <w:keepLines w:val="0"/>
        <w:widowControl/>
        <w:suppressLineNumbers w:val="0"/>
        <w:jc w:val="left"/>
        <w:rPr>
          <w:rStyle w:val="8"/>
          <w:rFonts w:ascii="宋体" w:hAnsi="宋体" w:eastAsia="宋体" w:cs="宋体"/>
          <w:b/>
          <w:kern w:val="0"/>
          <w:sz w:val="24"/>
          <w:szCs w:val="24"/>
          <w:lang w:val="en-US" w:eastAsia="zh-CN" w:bidi="ar"/>
        </w:rPr>
      </w:pPr>
    </w:p>
    <w:p w14:paraId="56FC6942">
      <w:pPr>
        <w:keepNext w:val="0"/>
        <w:keepLines w:val="0"/>
        <w:widowControl/>
        <w:suppressLineNumbers w:val="0"/>
        <w:jc w:val="left"/>
        <w:rPr>
          <w:rStyle w:val="8"/>
          <w:rFonts w:ascii="宋体" w:hAnsi="宋体" w:eastAsia="宋体" w:cs="宋体"/>
          <w:b/>
          <w:kern w:val="0"/>
          <w:sz w:val="24"/>
          <w:szCs w:val="24"/>
          <w:lang w:val="en-US" w:eastAsia="zh-CN" w:bidi="ar"/>
        </w:rPr>
      </w:pPr>
    </w:p>
    <w:p w14:paraId="21FAE79F">
      <w:pPr>
        <w:keepNext w:val="0"/>
        <w:keepLines w:val="0"/>
        <w:widowControl/>
        <w:suppressLineNumbers w:val="0"/>
        <w:jc w:val="left"/>
      </w:pPr>
      <w:r>
        <w:rPr>
          <w:rStyle w:val="8"/>
          <w:rFonts w:ascii="宋体" w:hAnsi="宋体" w:eastAsia="宋体" w:cs="宋体"/>
          <w:b/>
          <w:kern w:val="0"/>
          <w:sz w:val="24"/>
          <w:szCs w:val="24"/>
          <w:lang w:val="en-US" w:eastAsia="zh-CN" w:bidi="ar"/>
        </w:rPr>
        <w:t>包：7</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1、交付地点：福建省福州市连江县丹阳镇桂林村省救灾物资储备中心 </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2、交付时间：合同签订后，中标供应商在45个日历日内交货并通过采购人验收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3、交付条件：通过采购人验收</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4、是否收取履约保证金：否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5、是否邀请投标人参与验收：否</w:t>
      </w:r>
      <w:r>
        <w:rPr>
          <w:rStyle w:val="8"/>
          <w:rFonts w:ascii="宋体" w:hAnsi="宋体" w:eastAsia="宋体" w:cs="宋体"/>
          <w:b/>
          <w:kern w:val="0"/>
          <w:sz w:val="24"/>
          <w:szCs w:val="24"/>
          <w:lang w:val="en-US" w:eastAsia="zh-CN" w:bidi="ar"/>
        </w:rPr>
        <w:br w:type="textWrapping"/>
      </w:r>
      <w:r>
        <w:rPr>
          <w:rStyle w:val="8"/>
          <w:rFonts w:ascii="宋体" w:hAnsi="宋体" w:eastAsia="宋体" w:cs="宋体"/>
          <w:b/>
          <w:kern w:val="0"/>
          <w:sz w:val="24"/>
          <w:szCs w:val="24"/>
          <w:lang w:val="en-US" w:eastAsia="zh-CN" w:bidi="ar"/>
        </w:rPr>
        <w:t>6、验收方式数据表格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6658"/>
      </w:tblGrid>
      <w:tr w14:paraId="5898D26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2E47944">
            <w:pPr>
              <w:keepNext w:val="0"/>
              <w:keepLines w:val="0"/>
              <w:widowControl/>
              <w:suppressLineNumbers w:val="0"/>
              <w:jc w:val="left"/>
            </w:pPr>
            <w:r>
              <w:rPr>
                <w:rFonts w:ascii="宋体" w:hAnsi="宋体" w:eastAsia="宋体" w:cs="宋体"/>
                <w:kern w:val="0"/>
                <w:sz w:val="24"/>
                <w:szCs w:val="24"/>
                <w:lang w:val="en-US" w:eastAsia="zh-CN" w:bidi="ar"/>
              </w:rPr>
              <w:t>验收期次</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513265D1">
            <w:pPr>
              <w:keepNext w:val="0"/>
              <w:keepLines w:val="0"/>
              <w:widowControl/>
              <w:suppressLineNumbers w:val="0"/>
              <w:jc w:val="left"/>
            </w:pPr>
            <w:r>
              <w:rPr>
                <w:rFonts w:ascii="宋体" w:hAnsi="宋体" w:eastAsia="宋体" w:cs="宋体"/>
                <w:kern w:val="0"/>
                <w:sz w:val="24"/>
                <w:szCs w:val="24"/>
                <w:lang w:val="en-US" w:eastAsia="zh-CN" w:bidi="ar"/>
              </w:rPr>
              <w:t>验收期次说明</w:t>
            </w:r>
          </w:p>
        </w:tc>
      </w:tr>
      <w:tr w14:paraId="0104087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247536D8">
            <w:pPr>
              <w:keepNext w:val="0"/>
              <w:keepLines w:val="0"/>
              <w:widowControl/>
              <w:suppressLineNumbers w:val="0"/>
              <w:jc w:val="left"/>
            </w:pPr>
            <w:r>
              <w:rPr>
                <w:rFonts w:ascii="宋体" w:hAnsi="宋体" w:eastAsia="宋体" w:cs="宋体"/>
                <w:kern w:val="0"/>
                <w:sz w:val="24"/>
                <w:szCs w:val="24"/>
                <w:lang w:val="en-US" w:eastAsia="zh-CN" w:bidi="ar"/>
              </w:rPr>
              <w:t>1</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183F0193">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初验收：由中标人和采购人共同对货物的数量、质量、外包装等根据本招标文件的有关规定逐项检验。</w:t>
            </w:r>
          </w:p>
        </w:tc>
      </w:tr>
      <w:tr w14:paraId="7392AF2A">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4BB6F088">
            <w:pPr>
              <w:keepNext w:val="0"/>
              <w:keepLines w:val="0"/>
              <w:widowControl/>
              <w:suppressLineNumbers w:val="0"/>
              <w:jc w:val="left"/>
            </w:pPr>
            <w:r>
              <w:rPr>
                <w:rFonts w:ascii="宋体" w:hAnsi="宋体" w:eastAsia="宋体" w:cs="宋体"/>
                <w:kern w:val="0"/>
                <w:sz w:val="24"/>
                <w:szCs w:val="24"/>
                <w:lang w:val="en-US" w:eastAsia="zh-CN" w:bidi="ar"/>
              </w:rPr>
              <w:t>2</w:t>
            </w:r>
          </w:p>
        </w:tc>
        <w:tc>
          <w:tcPr>
            <w:tcW w:w="6658" w:type="dxa"/>
            <w:tcBorders>
              <w:top w:val="outset" w:color="auto" w:sz="6" w:space="0"/>
              <w:left w:val="outset" w:color="auto" w:sz="6" w:space="0"/>
              <w:bottom w:val="outset" w:color="auto" w:sz="6" w:space="0"/>
              <w:right w:val="outset" w:color="auto" w:sz="6" w:space="0"/>
            </w:tcBorders>
            <w:shd w:val="clear" w:color="auto" w:fill="auto"/>
            <w:vAlign w:val="center"/>
          </w:tcPr>
          <w:p w14:paraId="3EF23C85">
            <w:pPr>
              <w:keepNext w:val="0"/>
              <w:keepLines w:val="0"/>
              <w:widowControl/>
              <w:suppressLineNumbers w:val="0"/>
              <w:jc w:val="left"/>
              <w:rPr>
                <w:color w:val="FF0000"/>
              </w:rPr>
            </w:pPr>
            <w:r>
              <w:rPr>
                <w:rFonts w:ascii="宋体" w:hAnsi="宋体" w:eastAsia="宋体" w:cs="宋体"/>
                <w:color w:val="FF0000"/>
                <w:kern w:val="0"/>
                <w:sz w:val="24"/>
                <w:szCs w:val="24"/>
                <w:lang w:val="en-US" w:eastAsia="zh-CN" w:bidi="ar"/>
              </w:rPr>
              <w:t>最终验收：由采购人或中标人委托的专业公司以及有关管理部门按招标文件以及合同相关条款要求一同对货物进行联合验收，验收结果应符合采购人使用要求。在此期间，若发现产品质量有问题中标人应无条件免费更换直至验收合格交付使用。</w:t>
            </w:r>
          </w:p>
        </w:tc>
      </w:tr>
    </w:tbl>
    <w:p w14:paraId="3B5F3AA5">
      <w:pPr>
        <w:keepNext w:val="0"/>
        <w:keepLines w:val="0"/>
        <w:widowControl/>
        <w:suppressLineNumbers w:val="0"/>
        <w:jc w:val="left"/>
      </w:pPr>
      <w:r>
        <w:rPr>
          <w:rStyle w:val="8"/>
          <w:rFonts w:ascii="宋体" w:hAnsi="宋体" w:eastAsia="宋体" w:cs="宋体"/>
          <w:b/>
          <w:kern w:val="0"/>
          <w:sz w:val="24"/>
          <w:szCs w:val="24"/>
          <w:lang w:val="en-US" w:eastAsia="zh-CN" w:bidi="ar"/>
        </w:rPr>
        <w:t>7、支付方式数据表格</w:t>
      </w:r>
    </w:p>
    <w:tbl>
      <w:tblPr>
        <w:tblStyle w:val="6"/>
        <w:tblW w:w="8322"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1664"/>
        <w:gridCol w:w="1665"/>
        <w:gridCol w:w="4993"/>
      </w:tblGrid>
      <w:tr w14:paraId="2CF24A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blHeader/>
        </w:trPr>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1B873B88">
            <w:pPr>
              <w:keepNext w:val="0"/>
              <w:keepLines w:val="0"/>
              <w:widowControl/>
              <w:suppressLineNumbers w:val="0"/>
              <w:jc w:val="left"/>
            </w:pPr>
            <w:r>
              <w:rPr>
                <w:rFonts w:ascii="宋体" w:hAnsi="宋体" w:eastAsia="宋体" w:cs="宋体"/>
                <w:kern w:val="0"/>
                <w:sz w:val="24"/>
                <w:szCs w:val="24"/>
                <w:lang w:val="en-US" w:eastAsia="zh-CN" w:bidi="ar"/>
              </w:rPr>
              <w:t>支付期次</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359D133C">
            <w:pPr>
              <w:keepNext w:val="0"/>
              <w:keepLines w:val="0"/>
              <w:widowControl/>
              <w:suppressLineNumbers w:val="0"/>
              <w:jc w:val="left"/>
            </w:pPr>
            <w:r>
              <w:rPr>
                <w:rFonts w:ascii="宋体" w:hAnsi="宋体" w:eastAsia="宋体" w:cs="宋体"/>
                <w:kern w:val="0"/>
                <w:sz w:val="24"/>
                <w:szCs w:val="24"/>
                <w:lang w:val="en-US" w:eastAsia="zh-CN" w:bidi="ar"/>
              </w:rPr>
              <w:t>支付比例(%)</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0320C2F2">
            <w:pPr>
              <w:keepNext w:val="0"/>
              <w:keepLines w:val="0"/>
              <w:widowControl/>
              <w:suppressLineNumbers w:val="0"/>
              <w:jc w:val="left"/>
            </w:pPr>
            <w:r>
              <w:rPr>
                <w:rFonts w:ascii="宋体" w:hAnsi="宋体" w:eastAsia="宋体" w:cs="宋体"/>
                <w:kern w:val="0"/>
                <w:sz w:val="24"/>
                <w:szCs w:val="24"/>
                <w:lang w:val="en-US" w:eastAsia="zh-CN" w:bidi="ar"/>
              </w:rPr>
              <w:t>支付期次说明</w:t>
            </w:r>
          </w:p>
        </w:tc>
      </w:tr>
      <w:tr w14:paraId="6B90DFB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c>
          <w:tcPr>
            <w:tcW w:w="1664" w:type="dxa"/>
            <w:tcBorders>
              <w:top w:val="outset" w:color="auto" w:sz="6" w:space="0"/>
              <w:left w:val="outset" w:color="auto" w:sz="6" w:space="0"/>
              <w:bottom w:val="outset" w:color="auto" w:sz="6" w:space="0"/>
              <w:right w:val="outset" w:color="auto" w:sz="6" w:space="0"/>
            </w:tcBorders>
            <w:shd w:val="clear" w:color="auto" w:fill="auto"/>
            <w:vAlign w:val="center"/>
          </w:tcPr>
          <w:p w14:paraId="779BE292">
            <w:pPr>
              <w:keepNext w:val="0"/>
              <w:keepLines w:val="0"/>
              <w:widowControl/>
              <w:suppressLineNumbers w:val="0"/>
              <w:jc w:val="left"/>
            </w:pPr>
            <w:r>
              <w:rPr>
                <w:rFonts w:ascii="宋体" w:hAnsi="宋体" w:eastAsia="宋体" w:cs="宋体"/>
                <w:kern w:val="0"/>
                <w:sz w:val="24"/>
                <w:szCs w:val="24"/>
                <w:lang w:val="en-US" w:eastAsia="zh-CN" w:bidi="ar"/>
              </w:rPr>
              <w:t>1</w:t>
            </w:r>
          </w:p>
        </w:tc>
        <w:tc>
          <w:tcPr>
            <w:tcW w:w="1665" w:type="dxa"/>
            <w:tcBorders>
              <w:top w:val="outset" w:color="auto" w:sz="6" w:space="0"/>
              <w:left w:val="outset" w:color="auto" w:sz="6" w:space="0"/>
              <w:bottom w:val="outset" w:color="auto" w:sz="6" w:space="0"/>
              <w:right w:val="outset" w:color="auto" w:sz="6" w:space="0"/>
            </w:tcBorders>
            <w:shd w:val="clear" w:color="auto" w:fill="auto"/>
            <w:vAlign w:val="center"/>
          </w:tcPr>
          <w:p w14:paraId="58E2B1AE">
            <w:pPr>
              <w:keepNext w:val="0"/>
              <w:keepLines w:val="0"/>
              <w:widowControl/>
              <w:suppressLineNumbers w:val="0"/>
              <w:jc w:val="left"/>
            </w:pPr>
            <w:r>
              <w:rPr>
                <w:rFonts w:ascii="宋体" w:hAnsi="宋体" w:eastAsia="宋体" w:cs="宋体"/>
                <w:kern w:val="0"/>
                <w:sz w:val="24"/>
                <w:szCs w:val="24"/>
                <w:lang w:val="en-US" w:eastAsia="zh-CN" w:bidi="ar"/>
              </w:rPr>
              <w:t>100</w:t>
            </w:r>
          </w:p>
        </w:tc>
        <w:tc>
          <w:tcPr>
            <w:tcW w:w="4993" w:type="dxa"/>
            <w:tcBorders>
              <w:top w:val="outset" w:color="auto" w:sz="6" w:space="0"/>
              <w:left w:val="outset" w:color="auto" w:sz="6" w:space="0"/>
              <w:bottom w:val="outset" w:color="auto" w:sz="6" w:space="0"/>
              <w:right w:val="outset" w:color="auto" w:sz="6" w:space="0"/>
            </w:tcBorders>
            <w:shd w:val="clear" w:color="auto" w:fill="auto"/>
            <w:vAlign w:val="center"/>
          </w:tcPr>
          <w:p w14:paraId="38AF64EF">
            <w:pPr>
              <w:keepNext w:val="0"/>
              <w:keepLines w:val="0"/>
              <w:widowControl/>
              <w:suppressLineNumbers w:val="0"/>
              <w:jc w:val="left"/>
            </w:pPr>
            <w:r>
              <w:rPr>
                <w:rFonts w:ascii="宋体" w:hAnsi="宋体" w:eastAsia="宋体" w:cs="宋体"/>
                <w:kern w:val="0"/>
                <w:sz w:val="24"/>
                <w:szCs w:val="24"/>
                <w:lang w:val="en-US" w:eastAsia="zh-CN" w:bidi="ar"/>
              </w:rPr>
              <w:t>验收合格后，中标人持正式发票和采购人所开具的验收合格证明，采购人在七个日历日内支付全部合同款。</w:t>
            </w:r>
          </w:p>
        </w:tc>
      </w:tr>
    </w:tbl>
    <w:p w14:paraId="6EC5563C">
      <w:pPr>
        <w:pStyle w:val="5"/>
        <w:keepNext w:val="0"/>
        <w:keepLines w:val="0"/>
        <w:widowControl/>
        <w:suppressLineNumbers w:val="0"/>
        <w:spacing w:before="0" w:beforeAutospacing="0" w:after="150" w:afterAutospacing="0"/>
        <w:ind w:right="0"/>
      </w:pPr>
      <w:r>
        <w:rPr>
          <w:rFonts w:hint="eastAsia" w:ascii="宋体" w:hAnsi="宋体" w:eastAsia="宋体" w:cs="宋体"/>
          <w:spacing w:val="0"/>
          <w:sz w:val="24"/>
          <w:szCs w:val="24"/>
        </w:rPr>
        <w:t>8、各合同包投标人单价及总价均不得超过最高限价，否则视为无效投标。</w:t>
      </w:r>
    </w:p>
    <w:p w14:paraId="69AAECE8">
      <w:pPr>
        <w:pStyle w:val="5"/>
        <w:keepNext w:val="0"/>
        <w:keepLines w:val="0"/>
        <w:widowControl/>
        <w:suppressLineNumbers w:val="0"/>
        <w:spacing w:before="0" w:beforeAutospacing="0" w:after="150" w:afterAutospacing="0"/>
        <w:ind w:left="0" w:right="0"/>
      </w:pPr>
    </w:p>
    <w:p w14:paraId="75491B3C">
      <w:pPr>
        <w:pStyle w:val="5"/>
        <w:keepNext w:val="0"/>
        <w:keepLines w:val="0"/>
        <w:widowControl/>
        <w:suppressLineNumbers w:val="0"/>
        <w:shd w:val="clear" w:fill="FFFFFF"/>
        <w:spacing w:before="0" w:beforeAutospacing="0" w:after="150" w:afterAutospacing="0" w:line="405" w:lineRule="atLeast"/>
        <w:ind w:left="0" w:right="0"/>
        <w:rPr>
          <w:color w:val="FF0000"/>
        </w:rPr>
      </w:pPr>
      <w:r>
        <w:rPr>
          <w:rFonts w:hint="eastAsia" w:ascii="宋体" w:hAnsi="宋体" w:eastAsia="宋体" w:cs="宋体"/>
          <w:color w:val="FF0000"/>
          <w:spacing w:val="0"/>
          <w:sz w:val="24"/>
          <w:szCs w:val="24"/>
          <w:shd w:val="clear" w:fill="FFFFFF"/>
        </w:rPr>
        <w:t>9、售后要求（适用于合同包一、二、三、四、五、六、七）</w:t>
      </w:r>
    </w:p>
    <w:p w14:paraId="333DAFE0">
      <w:pPr>
        <w:pStyle w:val="5"/>
        <w:keepNext w:val="0"/>
        <w:keepLines w:val="0"/>
        <w:widowControl/>
        <w:suppressLineNumbers w:val="0"/>
        <w:shd w:val="clear" w:fill="FFFFFF"/>
        <w:spacing w:before="0" w:beforeAutospacing="0" w:after="150" w:afterAutospacing="0" w:line="405" w:lineRule="atLeast"/>
        <w:ind w:left="0" w:right="0" w:firstLine="480" w:firstLineChars="200"/>
        <w:rPr>
          <w:rFonts w:hint="eastAsia" w:ascii="宋体" w:hAnsi="宋体" w:eastAsia="宋体" w:cs="宋体"/>
          <w:color w:val="FF0000"/>
          <w:spacing w:val="0"/>
          <w:sz w:val="24"/>
          <w:szCs w:val="24"/>
          <w:shd w:val="clear" w:fill="FFFFFF"/>
        </w:rPr>
      </w:pPr>
      <w:r>
        <w:rPr>
          <w:rFonts w:hint="eastAsia" w:ascii="宋体" w:hAnsi="宋体" w:eastAsia="宋体" w:cs="宋体"/>
          <w:color w:val="FF0000"/>
          <w:spacing w:val="0"/>
          <w:sz w:val="24"/>
          <w:szCs w:val="24"/>
          <w:shd w:val="clear" w:fill="FFFFFF"/>
        </w:rPr>
        <w:t>9.1中标人应对此次采购产品承诺自验收合格后提供2年免费质保期，免费质保期自验收签名之日起计算。</w:t>
      </w:r>
    </w:p>
    <w:p w14:paraId="7B977500">
      <w:pPr>
        <w:pStyle w:val="5"/>
        <w:keepNext w:val="0"/>
        <w:keepLines w:val="0"/>
        <w:widowControl/>
        <w:suppressLineNumbers w:val="0"/>
        <w:shd w:val="clear" w:fill="FFFFFF"/>
        <w:spacing w:before="0" w:beforeAutospacing="0" w:after="150" w:afterAutospacing="0" w:line="405" w:lineRule="atLeast"/>
        <w:ind w:left="0" w:right="0" w:firstLine="480" w:firstLineChars="200"/>
        <w:rPr>
          <w:rFonts w:hint="eastAsia" w:ascii="宋体" w:hAnsi="宋体" w:eastAsia="宋体" w:cs="宋体"/>
          <w:spacing w:val="0"/>
          <w:sz w:val="24"/>
          <w:szCs w:val="24"/>
          <w:shd w:val="clear" w:fill="FFFFFF"/>
        </w:rPr>
      </w:pPr>
      <w:r>
        <w:rPr>
          <w:rFonts w:hint="eastAsia" w:ascii="宋体" w:hAnsi="宋体" w:eastAsia="宋体" w:cs="宋体"/>
          <w:color w:val="FF0000"/>
          <w:spacing w:val="0"/>
          <w:sz w:val="24"/>
          <w:szCs w:val="24"/>
          <w:shd w:val="clear" w:fill="FFFFFF"/>
        </w:rPr>
        <w:t>9.2质量保修期内若产品在使用中出现质量问题，中标人在接到采购人通知后应在7个日历日内无条件进行更换。投标人视自身能力在投标文件中提供更优、更合理的维修服务承诺</w:t>
      </w:r>
      <w:r>
        <w:rPr>
          <w:rFonts w:hint="eastAsia" w:ascii="宋体" w:hAnsi="宋体" w:eastAsia="宋体" w:cs="宋体"/>
          <w:spacing w:val="0"/>
          <w:sz w:val="24"/>
          <w:szCs w:val="24"/>
          <w:shd w:val="clear" w:fill="FFFFFF"/>
        </w:rPr>
        <w:t>。</w:t>
      </w:r>
    </w:p>
    <w:p w14:paraId="74B37BB8">
      <w:pPr>
        <w:pStyle w:val="5"/>
        <w:keepNext w:val="0"/>
        <w:keepLines w:val="0"/>
        <w:widowControl/>
        <w:suppressLineNumbers w:val="0"/>
        <w:spacing w:before="0" w:beforeAutospacing="0" w:after="150" w:afterAutospacing="0"/>
        <w:ind w:left="0" w:right="0"/>
      </w:pPr>
    </w:p>
    <w:p w14:paraId="5ED6D46F">
      <w:pPr>
        <w:keepNext w:val="0"/>
        <w:keepLines w:val="0"/>
        <w:widowControl/>
        <w:suppressLineNumbers w:val="0"/>
        <w:jc w:val="left"/>
      </w:pPr>
      <w:r>
        <w:rPr>
          <w:rFonts w:ascii="宋体" w:hAnsi="宋体" w:eastAsia="宋体" w:cs="宋体"/>
          <w:spacing w:val="0"/>
          <w:kern w:val="0"/>
          <w:sz w:val="24"/>
          <w:szCs w:val="24"/>
          <w:lang w:val="en-US" w:eastAsia="zh-CN" w:bidi="ar"/>
        </w:rPr>
        <w:t> </w:t>
      </w:r>
    </w:p>
    <w:p w14:paraId="42BEC84E">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33F8030">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09B99CF8">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728E25A">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12AB838F">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2B8DAA63">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73C467A9">
      <w:pPr>
        <w:pStyle w:val="5"/>
        <w:keepNext w:val="0"/>
        <w:keepLines w:val="0"/>
        <w:widowControl/>
        <w:suppressLineNumbers w:val="0"/>
        <w:spacing w:before="75" w:beforeAutospacing="0" w:after="75" w:afterAutospacing="0"/>
        <w:ind w:left="0" w:right="0" w:firstLine="0"/>
        <w:rPr>
          <w:rFonts w:hint="eastAsia" w:ascii="宋体" w:hAnsi="宋体" w:eastAsia="宋体" w:cs="宋体"/>
          <w:spacing w:val="0"/>
          <w:sz w:val="24"/>
          <w:szCs w:val="24"/>
        </w:rPr>
      </w:pPr>
    </w:p>
    <w:p w14:paraId="5F9A0BC5">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四、其他事项</w:t>
      </w:r>
    </w:p>
    <w:p w14:paraId="62E1758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1、除招标文件另有规定外，若出现有关法律、法规和规章有强制性规定但招标文件未列明的情形，则投标人应按照有关法律、法规和规章强制性规定执行。</w:t>
      </w:r>
    </w:p>
    <w:p w14:paraId="4C15E680">
      <w:pPr>
        <w:pStyle w:val="5"/>
        <w:keepNext w:val="0"/>
        <w:keepLines w:val="0"/>
        <w:widowControl/>
        <w:suppressLineNumbers w:val="0"/>
        <w:spacing w:before="75" w:beforeAutospacing="0" w:after="75" w:afterAutospacing="0"/>
        <w:ind w:left="0" w:right="0" w:firstLine="0"/>
      </w:pPr>
      <w:r>
        <w:rPr>
          <w:spacing w:val="0"/>
          <w:sz w:val="24"/>
          <w:szCs w:val="24"/>
        </w:rPr>
        <w:t>2、其他：</w:t>
      </w:r>
    </w:p>
    <w:p w14:paraId="31B57CDD">
      <w:pPr>
        <w:pStyle w:val="5"/>
        <w:keepNext w:val="0"/>
        <w:keepLines w:val="0"/>
        <w:widowControl/>
        <w:suppressLineNumbers w:val="0"/>
        <w:spacing w:before="0" w:beforeAutospacing="0" w:after="150" w:afterAutospacing="0" w:line="405" w:lineRule="atLeast"/>
        <w:ind w:left="0" w:right="0" w:firstLine="405"/>
      </w:pPr>
      <w:r>
        <w:rPr>
          <w:rStyle w:val="8"/>
          <w:rFonts w:ascii="新宋体" w:hAnsi="新宋体" w:eastAsia="新宋体" w:cs="新宋体"/>
          <w:b/>
          <w:spacing w:val="0"/>
          <w:sz w:val="21"/>
          <w:szCs w:val="21"/>
        </w:rPr>
        <w:t>（</w:t>
      </w:r>
      <w:r>
        <w:rPr>
          <w:rStyle w:val="8"/>
          <w:rFonts w:hint="eastAsia" w:ascii="新宋体" w:hAnsi="新宋体" w:eastAsia="新宋体" w:cs="新宋体"/>
          <w:b/>
          <w:spacing w:val="0"/>
          <w:sz w:val="21"/>
          <w:szCs w:val="21"/>
        </w:rPr>
        <w:t>1）投标人须保证采购人在使用该货物或其任何一部分时不受到第三方关于侵犯专 利权、商 标权或工业设 计权等知识产权的指控。如果任何第三方提出侵权指控与采购人无关，投标人须与第三方交涉并承担可能发生的责任与一切费用。如采购人因此而遭致损失的，投标人应赔偿该损失。</w:t>
      </w:r>
    </w:p>
    <w:p w14:paraId="040B824F">
      <w:pPr>
        <w:pStyle w:val="5"/>
        <w:keepNext w:val="0"/>
        <w:keepLines w:val="0"/>
        <w:widowControl/>
        <w:suppressLineNumbers w:val="0"/>
        <w:spacing w:before="0" w:beforeAutospacing="0" w:after="150" w:afterAutospacing="0" w:line="405" w:lineRule="atLeast"/>
        <w:ind w:left="0" w:right="0" w:firstLine="405"/>
      </w:pPr>
      <w:r>
        <w:rPr>
          <w:rStyle w:val="8"/>
          <w:rFonts w:hint="eastAsia" w:ascii="新宋体" w:hAnsi="新宋体" w:eastAsia="新宋体" w:cs="新宋体"/>
          <w:b/>
          <w:spacing w:val="0"/>
          <w:sz w:val="21"/>
          <w:szCs w:val="21"/>
        </w:rPr>
        <w:t>（2）投标人须将本项目要求提供的所有样品，于开标截止时间前1个工作日下午17：00前送达福建省顺鑫招标代 理有限公司，所有样品均应粘贴标签，上面标明货物名 称及对应合同包号，样品不能体现“生产厂家（品 牌）和投标人名 称”，未按以上规定提交投标样品的将被视为无效投标。</w:t>
      </w:r>
    </w:p>
    <w:p w14:paraId="02C18F1B">
      <w:pPr>
        <w:pStyle w:val="5"/>
        <w:keepNext w:val="0"/>
        <w:keepLines w:val="0"/>
        <w:widowControl/>
        <w:suppressLineNumbers w:val="0"/>
        <w:spacing w:before="0" w:beforeAutospacing="0" w:after="150" w:afterAutospacing="0"/>
        <w:ind w:left="0" w:right="0"/>
      </w:pPr>
      <w:r>
        <w:rPr>
          <w:rStyle w:val="8"/>
          <w:rFonts w:hint="eastAsia" w:ascii="新宋体" w:hAnsi="新宋体" w:eastAsia="新宋体" w:cs="新宋体"/>
          <w:b/>
          <w:spacing w:val="0"/>
          <w:sz w:val="21"/>
          <w:szCs w:val="21"/>
        </w:rPr>
        <w:t>（3）投标人开标时须携带本项目所有检测报告原件(检测报告上委托方需为投标人名 称)，如在评审过程中评标小组需要核查原件的，投标人须在30分钟内将检测报告原件提供给评标小组核查，未能提供检测报告原件或超过本项规定时间的，视为投标无效。</w:t>
      </w:r>
    </w:p>
    <w:p w14:paraId="507F2F4B">
      <w:pPr>
        <w:pStyle w:val="5"/>
        <w:keepNext w:val="0"/>
        <w:keepLines w:val="0"/>
        <w:widowControl/>
        <w:suppressLineNumbers w:val="0"/>
        <w:spacing w:before="75" w:beforeAutospacing="0" w:after="75" w:afterAutospacing="0"/>
        <w:ind w:left="0" w:right="0" w:firstLine="0"/>
      </w:pPr>
      <w:r>
        <w:rPr>
          <w:spacing w:val="0"/>
          <w:sz w:val="24"/>
          <w:szCs w:val="24"/>
        </w:rPr>
        <w:t> </w:t>
      </w:r>
    </w:p>
    <w:p w14:paraId="34B1596D">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0462A178">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6A9E144">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500AA65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91A0C6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6A51611">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87C1F57">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11F8969">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546757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5B382CE">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2FDF5D98">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第六章   政府采购合同（参考文本）</w:t>
      </w:r>
    </w:p>
    <w:p w14:paraId="170E5A54">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FFB6674">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24"/>
          <w:szCs w:val="24"/>
        </w:rPr>
        <w:t>编制说明</w:t>
      </w:r>
    </w:p>
    <w:p w14:paraId="631E81D5">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1、签订合同应遵守政府采购法、合同法。</w:t>
      </w:r>
    </w:p>
    <w:p w14:paraId="3E200237">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2、签订合同时，采购人与中标人应结合招标文件第五章规定填列相应内容。招标文件第五章已有规定的，双方均不得变更或调整；招标文件第五章未作规定的，双方可通过友好协商进行约定。</w:t>
      </w:r>
    </w:p>
    <w:p w14:paraId="07B542E8">
      <w:pPr>
        <w:pStyle w:val="5"/>
        <w:keepNext w:val="0"/>
        <w:keepLines w:val="0"/>
        <w:widowControl/>
        <w:suppressLineNumbers w:val="0"/>
        <w:spacing w:before="75" w:beforeAutospacing="0" w:after="75" w:afterAutospacing="0"/>
        <w:ind w:left="0" w:right="0" w:firstLine="0"/>
      </w:pPr>
      <w:r>
        <w:rPr>
          <w:rStyle w:val="8"/>
          <w:rFonts w:hint="eastAsia" w:ascii="宋体" w:hAnsi="宋体" w:eastAsia="宋体" w:cs="宋体"/>
          <w:b/>
          <w:spacing w:val="0"/>
          <w:sz w:val="24"/>
          <w:szCs w:val="24"/>
        </w:rPr>
        <w:t>3、国家有关部门对若干合同有规范文本的，可使用相应合同文本。</w:t>
      </w:r>
    </w:p>
    <w:p w14:paraId="45075C7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u w:val="single"/>
        </w:rPr>
        <w:t> </w:t>
      </w:r>
    </w:p>
    <w:p w14:paraId="257A66D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w:t>
      </w:r>
      <w:r>
        <w:rPr>
          <w:rFonts w:hint="eastAsia" w:ascii="宋体" w:hAnsi="宋体" w:eastAsia="宋体" w:cs="宋体"/>
          <w:spacing w:val="0"/>
          <w:sz w:val="24"/>
          <w:szCs w:val="24"/>
          <w:u w:val="single"/>
        </w:rPr>
        <w:t>（采购人全称）</w:t>
      </w:r>
    </w:p>
    <w:p w14:paraId="3A94AF39">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乙方：</w:t>
      </w:r>
      <w:r>
        <w:rPr>
          <w:rFonts w:hint="eastAsia" w:ascii="宋体" w:hAnsi="宋体" w:eastAsia="宋体" w:cs="宋体"/>
          <w:spacing w:val="0"/>
          <w:sz w:val="24"/>
          <w:szCs w:val="24"/>
          <w:u w:val="single"/>
        </w:rPr>
        <w:t>（中标人全称）</w:t>
      </w:r>
    </w:p>
    <w:p w14:paraId="0D835408">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4FE0DEF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根据招标编号为</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的</w:t>
      </w:r>
      <w:r>
        <w:rPr>
          <w:rFonts w:hint="eastAsia" w:ascii="宋体" w:hAnsi="宋体" w:eastAsia="宋体" w:cs="宋体"/>
          <w:spacing w:val="0"/>
          <w:sz w:val="24"/>
          <w:szCs w:val="24"/>
          <w:u w:val="single"/>
        </w:rPr>
        <w:t>（填写“项目名称”）</w:t>
      </w:r>
      <w:r>
        <w:rPr>
          <w:rFonts w:hint="eastAsia" w:ascii="宋体" w:hAnsi="宋体" w:eastAsia="宋体" w:cs="宋体"/>
          <w:spacing w:val="0"/>
          <w:sz w:val="24"/>
          <w:szCs w:val="24"/>
        </w:rPr>
        <w:t>项目（以下简称：“本项目”）的招标结果，乙方为中标人。现经甲乙双方友好协商，就以下事项达成一致并签订本合同：</w:t>
      </w:r>
    </w:p>
    <w:p w14:paraId="04CB40F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1、下列合同文件是构成本合同不可分割的部分：</w:t>
      </w:r>
    </w:p>
    <w:p w14:paraId="3B242CE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1.1合同条款；</w:t>
      </w:r>
    </w:p>
    <w:p w14:paraId="39F8E48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1.2招标文件、乙方的投标文件；</w:t>
      </w:r>
    </w:p>
    <w:p w14:paraId="0B11D59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1.3其他文件或材料：□无。□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14:paraId="6DBA8E2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2、合同标的</w:t>
      </w:r>
    </w:p>
    <w:p w14:paraId="5C5EA81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417D758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3、合同总金额</w:t>
      </w:r>
    </w:p>
    <w:p w14:paraId="51FAE0D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3.1合同总金额为人民币大写：</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元（￥</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14:paraId="51055B1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4、合同标的交付时间、地点和条件</w:t>
      </w:r>
    </w:p>
    <w:p w14:paraId="6F6AA60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4.1交付时间：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14:paraId="3839E71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4.2交付地点：</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14:paraId="2A070A7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4.3交付条件：</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w:t>
      </w:r>
    </w:p>
    <w:p w14:paraId="24D4068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5、合同标的应符合招标文件、乙方投标文件的规定或约定，具体如下：</w:t>
      </w:r>
    </w:p>
    <w:p w14:paraId="57F67CA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26629DD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6、验收</w:t>
      </w:r>
    </w:p>
    <w:p w14:paraId="64C79E5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6.1验收应按照招标文件、乙方投标文件的规定或约定进行，具体如下：</w:t>
      </w:r>
    </w:p>
    <w:p w14:paraId="1848182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3B449676">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6.2本项目是否邀请其他投标人参与验收：</w:t>
      </w:r>
    </w:p>
    <w:p w14:paraId="420B9AA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□不邀请。□邀请，具体如下：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14:paraId="72C359C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7、合同款项的支付应按照招标文件的规定进行，具体如下：</w:t>
      </w:r>
    </w:p>
    <w:p w14:paraId="33A0D6D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（按照实际情况编制填写，可以是表格或文字描述，包括一次性支付或分期支付等）</w:t>
      </w:r>
      <w:r>
        <w:rPr>
          <w:rFonts w:hint="eastAsia" w:ascii="宋体" w:hAnsi="宋体" w:eastAsia="宋体" w:cs="宋体"/>
          <w:spacing w:val="0"/>
          <w:sz w:val="24"/>
          <w:szCs w:val="24"/>
        </w:rPr>
        <w:t>。</w:t>
      </w:r>
    </w:p>
    <w:p w14:paraId="37428B3F">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8、履约保证金</w:t>
      </w:r>
    </w:p>
    <w:p w14:paraId="4A7C5FB2">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□无。□有，具体如下：</w:t>
      </w:r>
      <w:r>
        <w:rPr>
          <w:rFonts w:hint="eastAsia" w:ascii="宋体" w:hAnsi="宋体" w:eastAsia="宋体" w:cs="宋体"/>
          <w:spacing w:val="0"/>
          <w:sz w:val="24"/>
          <w:szCs w:val="24"/>
          <w:u w:val="single"/>
        </w:rPr>
        <w:t>（按照招标文件规定填写）</w:t>
      </w:r>
      <w:r>
        <w:rPr>
          <w:rFonts w:hint="eastAsia" w:ascii="宋体" w:hAnsi="宋体" w:eastAsia="宋体" w:cs="宋体"/>
          <w:spacing w:val="0"/>
          <w:sz w:val="24"/>
          <w:szCs w:val="24"/>
        </w:rPr>
        <w:t>。</w:t>
      </w:r>
    </w:p>
    <w:p w14:paraId="1DB28C2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9、合同有效期</w:t>
      </w:r>
    </w:p>
    <w:p w14:paraId="290D5A9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7369750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10、违约责任</w:t>
      </w:r>
    </w:p>
    <w:p w14:paraId="787A59C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（按照实际情况编制填写，可以是表格或文字描述）</w:t>
      </w:r>
      <w:r>
        <w:rPr>
          <w:rFonts w:hint="eastAsia" w:ascii="宋体" w:hAnsi="宋体" w:eastAsia="宋体" w:cs="宋体"/>
          <w:spacing w:val="0"/>
          <w:sz w:val="24"/>
          <w:szCs w:val="24"/>
        </w:rPr>
        <w:t>。</w:t>
      </w:r>
    </w:p>
    <w:p w14:paraId="3DACE064">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11、知识产权</w:t>
      </w:r>
    </w:p>
    <w:p w14:paraId="3DE68B6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4922C4C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14:paraId="4CBDCD1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12、解决争议的方法</w:t>
      </w:r>
    </w:p>
    <w:p w14:paraId="296EF3FB">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12.1甲、乙双方协商解决。</w:t>
      </w:r>
    </w:p>
    <w:p w14:paraId="4D23E377">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12.2若协商解决不成，则通过下列途径之一解决：</w:t>
      </w:r>
    </w:p>
    <w:p w14:paraId="429C2785">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□提交仲裁委员会仲裁，具体如下：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14:paraId="54F10A7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□向人民法院提起诉讼，具体如下：</w:t>
      </w:r>
      <w:r>
        <w:rPr>
          <w:rFonts w:hint="eastAsia" w:ascii="宋体" w:hAnsi="宋体" w:eastAsia="宋体" w:cs="宋体"/>
          <w:spacing w:val="0"/>
          <w:sz w:val="24"/>
          <w:szCs w:val="24"/>
          <w:u w:val="single"/>
        </w:rPr>
        <w:t>（按照实际情况编制填写）</w:t>
      </w:r>
      <w:r>
        <w:rPr>
          <w:rFonts w:hint="eastAsia" w:ascii="宋体" w:hAnsi="宋体" w:eastAsia="宋体" w:cs="宋体"/>
          <w:spacing w:val="0"/>
          <w:sz w:val="24"/>
          <w:szCs w:val="24"/>
        </w:rPr>
        <w:t>。</w:t>
      </w:r>
    </w:p>
    <w:p w14:paraId="30CBD11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13、不可抗力</w:t>
      </w:r>
    </w:p>
    <w:p w14:paraId="0A0E7C2D">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13.1因不可抗力造成违约的，遭受不可抗力一方应及时向对方通报不能履行或不能完全履行的理由，并在随后取得有关主管机关证明后的</w:t>
      </w:r>
      <w:r>
        <w:rPr>
          <w:rFonts w:hint="default" w:ascii="Calibri" w:hAnsi="Calibri" w:cs="Calibri"/>
          <w:spacing w:val="0"/>
          <w:sz w:val="24"/>
          <w:szCs w:val="24"/>
        </w:rPr>
        <w:t>15</w:t>
      </w:r>
      <w:r>
        <w:rPr>
          <w:rFonts w:hint="eastAsia" w:ascii="宋体" w:hAnsi="宋体" w:eastAsia="宋体" w:cs="宋体"/>
          <w:spacing w:val="0"/>
          <w:sz w:val="24"/>
          <w:szCs w:val="24"/>
        </w:rPr>
        <w:t>日内向另一方提供不可抗力发生及持续期间的充分证据。基于以上行为，允许遭受不可抗力一方延期履行、部分履行或不履行合同，并根据情况可部分或全部免于承担违约责任。</w:t>
      </w:r>
    </w:p>
    <w:p w14:paraId="3CEB7B2A">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13.2本合同中的不可抗力指不能预见、不能避免、不能克服的客观情况，包括但不限于：自然灾害如地震、台风、洪水、火灾及政府行为、法律规定或其适用的变化或其他任何无法预见、避免或控制的事件。</w:t>
      </w:r>
    </w:p>
    <w:p w14:paraId="44961E28">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14、合同条款</w:t>
      </w:r>
    </w:p>
    <w:p w14:paraId="306F3F40">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u w:val="single"/>
        </w:rPr>
        <w:t>（按照实际情况编制填写。招标文件第五章已有规定的，双方均不得变更或调整；招标文件第五章未作规定的，双方可通过友好协商进行约定）</w:t>
      </w:r>
      <w:r>
        <w:rPr>
          <w:rFonts w:hint="eastAsia" w:ascii="宋体" w:hAnsi="宋体" w:eastAsia="宋体" w:cs="宋体"/>
          <w:spacing w:val="0"/>
          <w:sz w:val="24"/>
          <w:szCs w:val="24"/>
        </w:rPr>
        <w:t>。</w:t>
      </w:r>
    </w:p>
    <w:p w14:paraId="3BF874D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15、其他约定</w:t>
      </w:r>
    </w:p>
    <w:p w14:paraId="2FBDCB6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15.1合同文件与本合同具有同等法律效力。</w:t>
      </w:r>
    </w:p>
    <w:p w14:paraId="194139B3">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15.2本合同未尽事宜，双方可另行补充。</w:t>
      </w:r>
    </w:p>
    <w:p w14:paraId="5F2EBEF1">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15.3合同生效：自签订之日起生效；通过福建省政府采购网上公开信息系统采用电子形式签订合同的，签订之日以系统记载的双方使用各自</w:t>
      </w:r>
      <w:r>
        <w:rPr>
          <w:rFonts w:hint="default" w:ascii="Calibri" w:hAnsi="Calibri" w:cs="Calibri"/>
          <w:spacing w:val="0"/>
          <w:sz w:val="24"/>
          <w:szCs w:val="24"/>
        </w:rPr>
        <w:t>CA</w:t>
      </w:r>
      <w:r>
        <w:rPr>
          <w:rFonts w:hint="eastAsia" w:ascii="宋体" w:hAnsi="宋体" w:eastAsia="宋体" w:cs="宋体"/>
          <w:spacing w:val="0"/>
          <w:sz w:val="24"/>
          <w:szCs w:val="24"/>
        </w:rPr>
        <w:t>证书在合同上加盖单位公章或合同章的日期中的最晚时间为准。</w:t>
      </w:r>
    </w:p>
    <w:p w14:paraId="683D211C">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15.4本合同一式</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份，经双方授权代表签字并盖章后生效。甲方、乙方各执</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份，送</w:t>
      </w:r>
      <w:r>
        <w:rPr>
          <w:rFonts w:hint="eastAsia" w:ascii="宋体" w:hAnsi="宋体" w:eastAsia="宋体" w:cs="宋体"/>
          <w:spacing w:val="0"/>
          <w:sz w:val="24"/>
          <w:szCs w:val="24"/>
          <w:u w:val="single"/>
        </w:rPr>
        <w:t>（填写需要备案的监管部门的全称）</w:t>
      </w:r>
      <w:r>
        <w:rPr>
          <w:rFonts w:hint="eastAsia" w:ascii="宋体" w:hAnsi="宋体" w:eastAsia="宋体" w:cs="宋体"/>
          <w:spacing w:val="0"/>
          <w:sz w:val="24"/>
          <w:szCs w:val="24"/>
        </w:rPr>
        <w:t>备案</w:t>
      </w:r>
      <w:r>
        <w:rPr>
          <w:rFonts w:hint="eastAsia" w:ascii="宋体" w:hAnsi="宋体" w:eastAsia="宋体" w:cs="宋体"/>
          <w:spacing w:val="0"/>
          <w:sz w:val="24"/>
          <w:szCs w:val="24"/>
          <w:u w:val="single"/>
        </w:rPr>
        <w:t>（填写具体份数）</w:t>
      </w:r>
      <w:r>
        <w:rPr>
          <w:rFonts w:hint="eastAsia" w:ascii="宋体" w:hAnsi="宋体" w:eastAsia="宋体" w:cs="宋体"/>
          <w:spacing w:val="0"/>
          <w:sz w:val="24"/>
          <w:szCs w:val="24"/>
        </w:rPr>
        <w:t>份，具有同等效力。</w:t>
      </w:r>
    </w:p>
    <w:p w14:paraId="2AF23C9E">
      <w:pPr>
        <w:pStyle w:val="5"/>
        <w:keepNext w:val="0"/>
        <w:keepLines w:val="0"/>
        <w:widowControl/>
        <w:suppressLineNumbers w:val="0"/>
        <w:spacing w:before="75" w:beforeAutospacing="0" w:after="75" w:afterAutospacing="0"/>
        <w:ind w:left="0" w:right="0" w:firstLine="480"/>
      </w:pPr>
      <w:r>
        <w:rPr>
          <w:rFonts w:hint="eastAsia" w:ascii="宋体" w:hAnsi="宋体" w:eastAsia="宋体" w:cs="宋体"/>
          <w:spacing w:val="0"/>
          <w:sz w:val="24"/>
          <w:szCs w:val="24"/>
        </w:rPr>
        <w:t>15.5其他：□无。□</w:t>
      </w:r>
      <w:r>
        <w:rPr>
          <w:rFonts w:hint="eastAsia" w:ascii="宋体" w:hAnsi="宋体" w:eastAsia="宋体" w:cs="宋体"/>
          <w:spacing w:val="0"/>
          <w:sz w:val="24"/>
          <w:szCs w:val="24"/>
          <w:u w:val="single"/>
        </w:rPr>
        <w:t>（按照实际情况编制填写需要增加的内容）</w:t>
      </w:r>
      <w:r>
        <w:rPr>
          <w:rFonts w:hint="eastAsia" w:ascii="宋体" w:hAnsi="宋体" w:eastAsia="宋体" w:cs="宋体"/>
          <w:spacing w:val="0"/>
          <w:sz w:val="24"/>
          <w:szCs w:val="24"/>
        </w:rPr>
        <w:t>。</w:t>
      </w:r>
    </w:p>
    <w:p w14:paraId="7339BE20">
      <w:pPr>
        <w:pStyle w:val="5"/>
        <w:keepNext w:val="0"/>
        <w:keepLines w:val="0"/>
        <w:widowControl/>
        <w:suppressLineNumbers w:val="0"/>
        <w:spacing w:before="75" w:beforeAutospacing="0" w:after="75" w:afterAutospacing="0"/>
        <w:ind w:left="0" w:right="0" w:firstLine="0"/>
        <w:jc w:val="center"/>
      </w:pPr>
      <w:r>
        <w:rPr>
          <w:rFonts w:hint="eastAsia" w:ascii="宋体" w:hAnsi="宋体" w:eastAsia="宋体" w:cs="宋体"/>
          <w:spacing w:val="0"/>
          <w:sz w:val="24"/>
          <w:szCs w:val="24"/>
        </w:rPr>
        <w:t>（以下无正文）</w:t>
      </w:r>
    </w:p>
    <w:p w14:paraId="7BA39F1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0559EB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2C293FB6">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甲方：                    乙方：</w:t>
      </w:r>
    </w:p>
    <w:p w14:paraId="25A5D00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住所：                    住所：</w:t>
      </w:r>
    </w:p>
    <w:p w14:paraId="3A0C5E5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单位负责人：                 单位负责人：</w:t>
      </w:r>
    </w:p>
    <w:p w14:paraId="595B1EB8">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13D1C620">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委托代理人：                 委托代理人：</w:t>
      </w:r>
    </w:p>
    <w:p w14:paraId="4E39B45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18A347C3">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联系方法：                  联系方法：</w:t>
      </w:r>
    </w:p>
    <w:p w14:paraId="6B2E3FDC">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开户银行：                  开户银行：</w:t>
      </w:r>
    </w:p>
    <w:p w14:paraId="063E229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账号：                    账号：</w:t>
      </w:r>
    </w:p>
    <w:p w14:paraId="161EC4B2">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3EEDEA6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 </w:t>
      </w:r>
    </w:p>
    <w:p w14:paraId="0C97FEFA">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签订地点：</w:t>
      </w:r>
      <w:r>
        <w:rPr>
          <w:rFonts w:hint="eastAsia" w:ascii="宋体" w:hAnsi="宋体" w:eastAsia="宋体" w:cs="宋体"/>
          <w:spacing w:val="0"/>
          <w:sz w:val="24"/>
          <w:szCs w:val="24"/>
          <w:u w:val="single"/>
        </w:rPr>
        <w:t>                </w:t>
      </w:r>
    </w:p>
    <w:p w14:paraId="3A6EDE77">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4"/>
          <w:szCs w:val="24"/>
        </w:rPr>
        <w:t>签订日期：</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年</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月</w:t>
      </w:r>
      <w:r>
        <w:rPr>
          <w:rFonts w:hint="eastAsia" w:ascii="宋体" w:hAnsi="宋体" w:eastAsia="宋体" w:cs="宋体"/>
          <w:spacing w:val="0"/>
          <w:sz w:val="24"/>
          <w:szCs w:val="24"/>
          <w:u w:val="single"/>
        </w:rPr>
        <w:t>   </w:t>
      </w:r>
      <w:r>
        <w:rPr>
          <w:rFonts w:hint="eastAsia" w:ascii="宋体" w:hAnsi="宋体" w:eastAsia="宋体" w:cs="宋体"/>
          <w:spacing w:val="0"/>
          <w:sz w:val="24"/>
          <w:szCs w:val="24"/>
        </w:rPr>
        <w:t>日</w:t>
      </w:r>
    </w:p>
    <w:p w14:paraId="38615383">
      <w:pPr>
        <w:pStyle w:val="5"/>
        <w:keepNext w:val="0"/>
        <w:keepLines w:val="0"/>
        <w:widowControl/>
        <w:suppressLineNumbers w:val="0"/>
        <w:spacing w:before="75" w:beforeAutospacing="0" w:after="75" w:afterAutospacing="0"/>
        <w:ind w:left="0" w:right="0" w:firstLine="0"/>
        <w:jc w:val="center"/>
      </w:pPr>
      <w:r>
        <w:rPr>
          <w:spacing w:val="0"/>
          <w:sz w:val="24"/>
          <w:szCs w:val="24"/>
        </w:rPr>
        <w:t> </w:t>
      </w:r>
    </w:p>
    <w:p w14:paraId="0154B089">
      <w:pPr>
        <w:pStyle w:val="5"/>
        <w:keepNext w:val="0"/>
        <w:keepLines w:val="0"/>
        <w:widowControl/>
        <w:suppressLineNumbers w:val="0"/>
        <w:spacing w:before="75" w:beforeAutospacing="0" w:after="240" w:afterAutospacing="0"/>
        <w:ind w:left="0" w:right="0" w:firstLine="0"/>
      </w:pPr>
      <w:r>
        <w:rPr>
          <w:spacing w:val="0"/>
          <w:sz w:val="24"/>
          <w:szCs w:val="24"/>
        </w:rPr>
        <w:t> </w:t>
      </w:r>
    </w:p>
    <w:p w14:paraId="4EAFB5C5">
      <w:pPr>
        <w:pStyle w:val="5"/>
        <w:keepNext w:val="0"/>
        <w:keepLines w:val="0"/>
        <w:widowControl/>
        <w:suppressLineNumbers w:val="0"/>
        <w:spacing w:before="75" w:beforeAutospacing="0" w:after="75" w:afterAutospacing="0"/>
        <w:ind w:left="0" w:right="0" w:firstLine="0"/>
      </w:pPr>
      <w:r>
        <w:rPr>
          <w:rFonts w:hint="default" w:ascii="Calibri" w:hAnsi="Calibri" w:cs="Calibri"/>
          <w:spacing w:val="0"/>
          <w:sz w:val="21"/>
          <w:szCs w:val="21"/>
        </w:rPr>
        <w:t>                                                                                  </w:t>
      </w:r>
    </w:p>
    <w:p w14:paraId="732C7081">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3D18E676">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5E1F4E9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4CEC4B4F">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1E29A65A">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6315EF33">
      <w:pPr>
        <w:pStyle w:val="5"/>
        <w:keepNext w:val="0"/>
        <w:keepLines w:val="0"/>
        <w:widowControl/>
        <w:suppressLineNumbers w:val="0"/>
        <w:spacing w:before="75" w:beforeAutospacing="0" w:after="75" w:afterAutospacing="0"/>
        <w:ind w:left="0" w:right="0" w:firstLine="0"/>
        <w:jc w:val="center"/>
        <w:rPr>
          <w:rStyle w:val="8"/>
          <w:rFonts w:hint="eastAsia" w:ascii="宋体" w:hAnsi="宋体" w:eastAsia="宋体" w:cs="宋体"/>
          <w:b/>
          <w:spacing w:val="0"/>
          <w:sz w:val="31"/>
          <w:szCs w:val="31"/>
        </w:rPr>
      </w:pPr>
    </w:p>
    <w:p w14:paraId="736B37C6">
      <w:pPr>
        <w:pStyle w:val="5"/>
        <w:keepNext w:val="0"/>
        <w:keepLines w:val="0"/>
        <w:widowControl/>
        <w:suppressLineNumbers w:val="0"/>
        <w:spacing w:before="75" w:beforeAutospacing="0" w:after="75" w:afterAutospacing="0"/>
        <w:ind w:left="0" w:right="0" w:firstLine="0"/>
        <w:jc w:val="center"/>
      </w:pPr>
      <w:r>
        <w:rPr>
          <w:rStyle w:val="8"/>
          <w:rFonts w:hint="eastAsia" w:ascii="宋体" w:hAnsi="宋体" w:eastAsia="宋体" w:cs="宋体"/>
          <w:b/>
          <w:spacing w:val="0"/>
          <w:sz w:val="31"/>
          <w:szCs w:val="31"/>
        </w:rPr>
        <w:t>第七章   投标文件格式</w:t>
      </w:r>
    </w:p>
    <w:p w14:paraId="131F9CC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4"/>
          <w:szCs w:val="24"/>
        </w:rPr>
        <w:t>编制说明</w:t>
      </w:r>
    </w:p>
    <w:p w14:paraId="2ADF4D21">
      <w:pPr>
        <w:pStyle w:val="5"/>
        <w:keepNext w:val="0"/>
        <w:keepLines w:val="0"/>
        <w:widowControl/>
        <w:suppressLineNumbers w:val="0"/>
        <w:spacing w:before="0" w:beforeAutospacing="0" w:after="150" w:afterAutospacing="0"/>
        <w:ind w:left="0" w:right="0"/>
      </w:pPr>
      <w:r>
        <w:rPr>
          <w:rFonts w:hint="eastAsia" w:ascii="宋体" w:hAnsi="宋体" w:eastAsia="宋体" w:cs="宋体"/>
          <w:sz w:val="24"/>
          <w:szCs w:val="24"/>
        </w:rPr>
        <w:t> </w:t>
      </w:r>
    </w:p>
    <w:p w14:paraId="61AE926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1、除招标文件另有规定外，本章中：</w:t>
      </w:r>
    </w:p>
    <w:p w14:paraId="6EF6C8CE">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1.1涉及投标人的</w:t>
      </w:r>
      <w:r>
        <w:rPr>
          <w:rStyle w:val="8"/>
          <w:rFonts w:hint="eastAsia" w:ascii="宋体" w:hAnsi="宋体" w:eastAsia="宋体" w:cs="宋体"/>
          <w:b/>
          <w:sz w:val="24"/>
          <w:szCs w:val="24"/>
        </w:rPr>
        <w:t>“全称”</w:t>
      </w:r>
      <w:r>
        <w:rPr>
          <w:rFonts w:hint="eastAsia" w:ascii="宋体" w:hAnsi="宋体" w:eastAsia="宋体" w:cs="宋体"/>
          <w:sz w:val="24"/>
          <w:szCs w:val="24"/>
        </w:rPr>
        <w:t>：</w:t>
      </w:r>
    </w:p>
    <w:p w14:paraId="54B026CD">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8"/>
          <w:rFonts w:hint="eastAsia" w:ascii="宋体" w:hAnsi="宋体" w:eastAsia="宋体" w:cs="宋体"/>
          <w:b/>
          <w:sz w:val="24"/>
          <w:szCs w:val="24"/>
        </w:rPr>
        <w:t>投标人的全称</w:t>
      </w:r>
      <w:r>
        <w:rPr>
          <w:rFonts w:hint="eastAsia" w:ascii="宋体" w:hAnsi="宋体" w:eastAsia="宋体" w:cs="宋体"/>
          <w:sz w:val="24"/>
          <w:szCs w:val="24"/>
        </w:rPr>
        <w:t>。</w:t>
      </w:r>
    </w:p>
    <w:p w14:paraId="37E37DE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8"/>
          <w:rFonts w:hint="eastAsia" w:ascii="宋体" w:hAnsi="宋体" w:eastAsia="宋体" w:cs="宋体"/>
          <w:b/>
          <w:sz w:val="24"/>
          <w:szCs w:val="24"/>
        </w:rPr>
        <w:t>牵头方的全称</w:t>
      </w:r>
      <w:r>
        <w:rPr>
          <w:rFonts w:hint="eastAsia" w:ascii="宋体" w:hAnsi="宋体" w:eastAsia="宋体" w:cs="宋体"/>
          <w:sz w:val="24"/>
          <w:szCs w:val="24"/>
        </w:rPr>
        <w:t>并加注</w:t>
      </w:r>
      <w:r>
        <w:rPr>
          <w:rStyle w:val="8"/>
          <w:rFonts w:hint="eastAsia" w:ascii="宋体" w:hAnsi="宋体" w:eastAsia="宋体" w:cs="宋体"/>
          <w:b/>
          <w:sz w:val="24"/>
          <w:szCs w:val="24"/>
        </w:rPr>
        <w:t>（联合体牵头方）</w:t>
      </w:r>
      <w:r>
        <w:rPr>
          <w:rFonts w:hint="eastAsia" w:ascii="宋体" w:hAnsi="宋体" w:eastAsia="宋体" w:cs="宋体"/>
          <w:sz w:val="24"/>
          <w:szCs w:val="24"/>
        </w:rPr>
        <w:t>，即应表述为：</w:t>
      </w:r>
      <w:r>
        <w:rPr>
          <w:rStyle w:val="8"/>
          <w:rFonts w:hint="eastAsia" w:ascii="宋体" w:hAnsi="宋体" w:eastAsia="宋体" w:cs="宋体"/>
          <w:b/>
          <w:sz w:val="24"/>
          <w:szCs w:val="24"/>
        </w:rPr>
        <w:t>“牵头方的全称（联合体牵头方）”</w:t>
      </w:r>
      <w:r>
        <w:rPr>
          <w:rFonts w:hint="eastAsia" w:ascii="宋体" w:hAnsi="宋体" w:eastAsia="宋体" w:cs="宋体"/>
          <w:sz w:val="24"/>
          <w:szCs w:val="24"/>
        </w:rPr>
        <w:t>。</w:t>
      </w:r>
    </w:p>
    <w:p w14:paraId="0F77F4F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1.2涉及投标人</w:t>
      </w:r>
      <w:r>
        <w:rPr>
          <w:rStyle w:val="8"/>
          <w:rFonts w:hint="eastAsia" w:ascii="宋体" w:hAnsi="宋体" w:eastAsia="宋体" w:cs="宋体"/>
          <w:b/>
          <w:sz w:val="24"/>
          <w:szCs w:val="24"/>
        </w:rPr>
        <w:t>“加盖单位公章”</w:t>
      </w:r>
      <w:r>
        <w:rPr>
          <w:rFonts w:hint="eastAsia" w:ascii="宋体" w:hAnsi="宋体" w:eastAsia="宋体" w:cs="宋体"/>
          <w:sz w:val="24"/>
          <w:szCs w:val="24"/>
        </w:rPr>
        <w:t>：</w:t>
      </w:r>
    </w:p>
    <w:p w14:paraId="3AC51EF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w:t>
      </w:r>
      <w:r>
        <w:rPr>
          <w:rStyle w:val="8"/>
          <w:rFonts w:hint="eastAsia" w:ascii="宋体" w:hAnsi="宋体" w:eastAsia="宋体" w:cs="宋体"/>
          <w:b/>
          <w:sz w:val="24"/>
          <w:szCs w:val="24"/>
        </w:rPr>
        <w:t>加盖投标人的单位公章</w:t>
      </w:r>
      <w:r>
        <w:rPr>
          <w:rFonts w:hint="eastAsia" w:ascii="宋体" w:hAnsi="宋体" w:eastAsia="宋体" w:cs="宋体"/>
          <w:sz w:val="24"/>
          <w:szCs w:val="24"/>
        </w:rPr>
        <w:t>。</w:t>
      </w:r>
    </w:p>
    <w:p w14:paraId="6A527E3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w:t>
      </w:r>
      <w:r>
        <w:rPr>
          <w:rStyle w:val="8"/>
          <w:rFonts w:hint="eastAsia" w:ascii="宋体" w:hAnsi="宋体" w:eastAsia="宋体" w:cs="宋体"/>
          <w:b/>
          <w:sz w:val="24"/>
          <w:szCs w:val="24"/>
        </w:rPr>
        <w:t>加盖联合体牵头方的单位公章</w:t>
      </w:r>
      <w:r>
        <w:rPr>
          <w:rFonts w:hint="eastAsia" w:ascii="宋体" w:hAnsi="宋体" w:eastAsia="宋体" w:cs="宋体"/>
          <w:sz w:val="24"/>
          <w:szCs w:val="24"/>
        </w:rPr>
        <w:t>。</w:t>
      </w:r>
    </w:p>
    <w:p w14:paraId="5A0862F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1.3涉及</w:t>
      </w:r>
      <w:r>
        <w:rPr>
          <w:rStyle w:val="8"/>
          <w:rFonts w:hint="eastAsia" w:ascii="宋体" w:hAnsi="宋体" w:eastAsia="宋体" w:cs="宋体"/>
          <w:b/>
          <w:sz w:val="24"/>
          <w:szCs w:val="24"/>
        </w:rPr>
        <w:t>“投标人代表签字”</w:t>
      </w:r>
      <w:r>
        <w:rPr>
          <w:rFonts w:hint="eastAsia" w:ascii="宋体" w:hAnsi="宋体" w:eastAsia="宋体" w:cs="宋体"/>
          <w:sz w:val="24"/>
          <w:szCs w:val="24"/>
        </w:rPr>
        <w:t>：</w:t>
      </w:r>
    </w:p>
    <w:p w14:paraId="771B512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（1）不接受联合体投标的，指由</w:t>
      </w:r>
      <w:r>
        <w:rPr>
          <w:rStyle w:val="8"/>
          <w:rFonts w:hint="eastAsia" w:ascii="宋体" w:hAnsi="宋体" w:eastAsia="宋体" w:cs="宋体"/>
          <w:b/>
          <w:sz w:val="24"/>
          <w:szCs w:val="24"/>
        </w:rPr>
        <w:t>投标人的单位负责人或其授权的委托代理人签字</w:t>
      </w:r>
      <w:r>
        <w:rPr>
          <w:rFonts w:hint="eastAsia" w:ascii="宋体" w:hAnsi="宋体" w:eastAsia="宋体" w:cs="宋体"/>
          <w:sz w:val="24"/>
          <w:szCs w:val="24"/>
        </w:rPr>
        <w:t>，由委托代理人签字的，应提供“单位负责人授权书”。</w:t>
      </w:r>
    </w:p>
    <w:p w14:paraId="05BF052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（2）接受联合体投标且投标人为联合体的，指由</w:t>
      </w:r>
      <w:r>
        <w:rPr>
          <w:rStyle w:val="8"/>
          <w:rFonts w:hint="eastAsia" w:ascii="宋体" w:hAnsi="宋体" w:eastAsia="宋体" w:cs="宋体"/>
          <w:b/>
          <w:sz w:val="24"/>
          <w:szCs w:val="24"/>
        </w:rPr>
        <w:t>联合体牵头方的单位负责人或其授权的委托代理人签字</w:t>
      </w:r>
      <w:r>
        <w:rPr>
          <w:rFonts w:hint="eastAsia" w:ascii="宋体" w:hAnsi="宋体" w:eastAsia="宋体" w:cs="宋体"/>
          <w:sz w:val="24"/>
          <w:szCs w:val="24"/>
        </w:rPr>
        <w:t>，由委托代理人签字的，应提供“单位负责人授权书”。</w:t>
      </w:r>
    </w:p>
    <w:p w14:paraId="69A0429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1.4</w:t>
      </w:r>
      <w:r>
        <w:rPr>
          <w:rStyle w:val="8"/>
          <w:rFonts w:hint="eastAsia" w:ascii="宋体" w:hAnsi="宋体" w:eastAsia="宋体" w:cs="宋体"/>
          <w:b/>
          <w:sz w:val="24"/>
          <w:szCs w:val="24"/>
        </w:rPr>
        <w:t>“其他组织”</w:t>
      </w:r>
      <w:r>
        <w:rPr>
          <w:rFonts w:hint="eastAsia" w:ascii="宋体" w:hAnsi="宋体" w:eastAsia="宋体" w:cs="宋体"/>
          <w:sz w:val="24"/>
          <w:szCs w:val="24"/>
        </w:rPr>
        <w:t>指合伙企业、非企业专业服务机构、个体工商户、农村承包经营户等。</w:t>
      </w:r>
    </w:p>
    <w:p w14:paraId="1CF6DB9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1.5</w:t>
      </w:r>
      <w:r>
        <w:rPr>
          <w:rStyle w:val="8"/>
          <w:rFonts w:hint="eastAsia" w:ascii="宋体" w:hAnsi="宋体" w:eastAsia="宋体" w:cs="宋体"/>
          <w:b/>
          <w:sz w:val="24"/>
          <w:szCs w:val="24"/>
        </w:rPr>
        <w:t>“自然人”</w:t>
      </w:r>
      <w:r>
        <w:rPr>
          <w:rFonts w:hint="eastAsia" w:ascii="宋体" w:hAnsi="宋体" w:eastAsia="宋体" w:cs="宋体"/>
          <w:sz w:val="24"/>
          <w:szCs w:val="24"/>
        </w:rPr>
        <w:t>指具有完全民事行为能力、能够承担民事责任和义务的中国公民。</w:t>
      </w:r>
    </w:p>
    <w:p w14:paraId="10B2725B">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2、除招标文件另有规定外，本章中</w:t>
      </w:r>
      <w:r>
        <w:rPr>
          <w:rStyle w:val="8"/>
          <w:rFonts w:hint="eastAsia" w:ascii="宋体" w:hAnsi="宋体" w:eastAsia="宋体" w:cs="宋体"/>
          <w:b/>
          <w:sz w:val="24"/>
          <w:szCs w:val="24"/>
        </w:rPr>
        <w:t>“投标人的资格及资信证明文件”</w:t>
      </w:r>
      <w:r>
        <w:rPr>
          <w:rFonts w:hint="eastAsia" w:ascii="宋体" w:hAnsi="宋体" w:eastAsia="宋体" w:cs="宋体"/>
          <w:sz w:val="24"/>
          <w:szCs w:val="24"/>
        </w:rPr>
        <w:t>：</w:t>
      </w:r>
    </w:p>
    <w:p w14:paraId="744E71D2">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2.1投标人应按照招标文件第四章第</w:t>
      </w:r>
      <w:r>
        <w:rPr>
          <w:rFonts w:hint="default" w:ascii="Calibri" w:hAnsi="Calibri" w:eastAsia="宋体" w:cs="Calibri"/>
          <w:sz w:val="24"/>
          <w:szCs w:val="24"/>
        </w:rPr>
        <w:t>1.3</w:t>
      </w:r>
      <w:r>
        <w:rPr>
          <w:rFonts w:hint="eastAsia" w:ascii="宋体" w:hAnsi="宋体" w:eastAsia="宋体" w:cs="宋体"/>
          <w:sz w:val="24"/>
          <w:szCs w:val="24"/>
        </w:rPr>
        <w:t>条第（</w:t>
      </w:r>
      <w:r>
        <w:rPr>
          <w:rFonts w:hint="default" w:ascii="Calibri" w:hAnsi="Calibri" w:eastAsia="宋体" w:cs="Calibri"/>
          <w:sz w:val="24"/>
          <w:szCs w:val="24"/>
        </w:rPr>
        <w:t>2</w:t>
      </w:r>
      <w:r>
        <w:rPr>
          <w:rFonts w:hint="eastAsia" w:ascii="宋体" w:hAnsi="宋体" w:eastAsia="宋体" w:cs="宋体"/>
          <w:sz w:val="24"/>
          <w:szCs w:val="24"/>
        </w:rPr>
        <w:t>）款规定及本章规定进行编制，如有必要，可增加附页，附页作为资格及资信文件的组成部分。</w:t>
      </w:r>
    </w:p>
    <w:p w14:paraId="026858CA">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2.2接受联合体投标且投标人为联合体的，联合体中的各方均应按照本章第</w:t>
      </w:r>
      <w:r>
        <w:rPr>
          <w:rFonts w:hint="default" w:ascii="Calibri" w:hAnsi="Calibri" w:eastAsia="宋体" w:cs="Calibri"/>
          <w:sz w:val="24"/>
          <w:szCs w:val="24"/>
        </w:rPr>
        <w:t>2.1</w:t>
      </w:r>
      <w:r>
        <w:rPr>
          <w:rFonts w:hint="eastAsia" w:ascii="宋体" w:hAnsi="宋体" w:eastAsia="宋体" w:cs="宋体"/>
          <w:sz w:val="24"/>
          <w:szCs w:val="24"/>
        </w:rPr>
        <w:t>条规定提交相应的全部资料。</w:t>
      </w:r>
    </w:p>
    <w:p w14:paraId="74A38DE6">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3、投标人对投标文件的索引应编制页码。</w:t>
      </w:r>
    </w:p>
    <w:p w14:paraId="274EFC01">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4、除招标文件另有规定外，本章中：</w:t>
      </w:r>
    </w:p>
    <w:p w14:paraId="7F53ED94">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4.1除《检察机关行贿犯罪档案查询结果告知函》外，招标文件要求原件的，投标人在纸质投标文件正本中应提供原件；招标文件要求复印件的，投标人在纸质投标文件中提供原件、复印件（含扫描件）皆可；招标文件对原件、复印件未作要求的，投标人在纸质投标文件中提供原件、复印件（含扫描件）皆可。</w:t>
      </w:r>
    </w:p>
    <w:p w14:paraId="2DF3E9A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4.2除《检察机关行贿犯罪档案查询结果告知函》外，若投标人提供注明“复印件无效”的证明材料或资料，其纸质投标文件正本中应提供原件。</w:t>
      </w:r>
    </w:p>
    <w:p w14:paraId="4D58D3C3">
      <w:pPr>
        <w:pStyle w:val="5"/>
        <w:keepNext w:val="0"/>
        <w:keepLines w:val="0"/>
        <w:widowControl/>
        <w:suppressLineNumbers w:val="0"/>
        <w:spacing w:before="0" w:beforeAutospacing="0" w:after="150" w:afterAutospacing="0"/>
        <w:ind w:left="0" w:right="0" w:firstLine="480"/>
      </w:pPr>
      <w:r>
        <w:rPr>
          <w:rFonts w:hint="eastAsia" w:ascii="宋体" w:hAnsi="宋体" w:eastAsia="宋体" w:cs="宋体"/>
          <w:sz w:val="24"/>
          <w:szCs w:val="24"/>
        </w:rPr>
        <w:t>4.3《检察机关行贿犯罪档案查询结果告知函》：投标人在纸质投标文件正本中提供原件、复印件（含扫描件）、符合本章规定的打印件（或截图）皆可。</w:t>
      </w:r>
    </w:p>
    <w:p w14:paraId="08EA92CA">
      <w:pPr>
        <w:pStyle w:val="5"/>
        <w:keepNext w:val="0"/>
        <w:keepLines w:val="0"/>
        <w:widowControl/>
        <w:suppressLineNumbers w:val="0"/>
        <w:spacing w:before="0" w:beforeAutospacing="0" w:after="150" w:afterAutospacing="0"/>
        <w:ind w:left="0" w:right="0"/>
      </w:pPr>
    </w:p>
    <w:p w14:paraId="085B4E3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B08FA2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3A46C7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35047BD9">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0A15F6E">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1B443831">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DD69241">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276F50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668F1B7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38B1EF6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7AF4A3B">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9302DA1">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6937DDBC">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7DF45EA">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5352709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08E31B87">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1592018">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14:paraId="7D54CBEA">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155950D3">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5CB0EBFF">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2F45C48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14:paraId="042B663C">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（资格及资信证明部分）</w:t>
      </w:r>
    </w:p>
    <w:p w14:paraId="1579F580">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1907730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14:paraId="153303FF">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590882BA">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14:paraId="79F643D3">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14:paraId="71FF6276">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14:paraId="00C510A1">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14:paraId="0F2B72B0">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4024D790">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65849AE7">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14:paraId="48F8FCC8">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14:paraId="2EC9B0B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88B60A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E944906">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8"/>
          <w:szCs w:val="28"/>
        </w:rPr>
        <w:t>索引</w:t>
      </w:r>
    </w:p>
    <w:p w14:paraId="6A477E17">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一、投标函</w:t>
      </w:r>
    </w:p>
    <w:p w14:paraId="3E1CB73A">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二、投标人的资格及资信证明文件</w:t>
      </w:r>
    </w:p>
    <w:p w14:paraId="2F094B17">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三、投标保证金</w:t>
      </w:r>
    </w:p>
    <w:p w14:paraId="5F0E43C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0278E9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9499B7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EB3447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14:paraId="2C34867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资格及资信证明部分中不得出现报价部分的全部或部分的投标报价信息（或组成资料），否则</w:t>
      </w:r>
      <w:r>
        <w:rPr>
          <w:rStyle w:val="8"/>
          <w:rFonts w:hint="eastAsia" w:ascii="宋体" w:hAnsi="宋体" w:eastAsia="宋体" w:cs="宋体"/>
          <w:b/>
          <w:sz w:val="21"/>
          <w:szCs w:val="21"/>
        </w:rPr>
        <w:t>资格审查不合格</w:t>
      </w:r>
      <w:r>
        <w:rPr>
          <w:rFonts w:hint="eastAsia" w:ascii="宋体" w:hAnsi="宋体" w:eastAsia="宋体" w:cs="宋体"/>
          <w:sz w:val="21"/>
          <w:szCs w:val="21"/>
        </w:rPr>
        <w:t>。</w:t>
      </w:r>
    </w:p>
    <w:p w14:paraId="0F6FA613">
      <w:pPr>
        <w:pStyle w:val="5"/>
        <w:keepNext w:val="0"/>
        <w:keepLines w:val="0"/>
        <w:widowControl/>
        <w:suppressLineNumbers w:val="0"/>
        <w:spacing w:before="0" w:beforeAutospacing="0" w:after="150" w:afterAutospacing="0"/>
        <w:ind w:left="0" w:right="0"/>
      </w:pPr>
    </w:p>
    <w:p w14:paraId="294E5AE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2BEFBA0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B5F137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1A19E6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EFFBC8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E7C50A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A5779C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2401D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02A2ED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251F10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F0A5AC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DE1079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928966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905F39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C46EF6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5835DB">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一、投标函</w:t>
      </w:r>
    </w:p>
    <w:p w14:paraId="55A543E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7B6C4E1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兹收到贵单位关于</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）的投标邀请，本投标人代表</w:t>
      </w:r>
      <w:r>
        <w:rPr>
          <w:rFonts w:hint="eastAsia" w:ascii="宋体" w:hAnsi="宋体" w:eastAsia="宋体" w:cs="宋体"/>
          <w:sz w:val="21"/>
          <w:szCs w:val="21"/>
          <w:u w:val="single"/>
        </w:rPr>
        <w:t>（填写“全名”）</w:t>
      </w:r>
      <w:r>
        <w:rPr>
          <w:rFonts w:hint="eastAsia" w:ascii="宋体" w:hAnsi="宋体" w:eastAsia="宋体" w:cs="宋体"/>
          <w:sz w:val="21"/>
          <w:szCs w:val="21"/>
        </w:rPr>
        <w:t>已获得我方正式授权并代表投标人</w:t>
      </w:r>
      <w:r>
        <w:rPr>
          <w:rFonts w:hint="eastAsia" w:ascii="宋体" w:hAnsi="宋体" w:eastAsia="宋体" w:cs="宋体"/>
          <w:sz w:val="21"/>
          <w:szCs w:val="21"/>
          <w:u w:val="single"/>
        </w:rPr>
        <w:t>（填写“全称”）</w:t>
      </w:r>
      <w:r>
        <w:rPr>
          <w:rFonts w:hint="eastAsia" w:ascii="宋体" w:hAnsi="宋体" w:eastAsia="宋体" w:cs="宋体"/>
          <w:sz w:val="21"/>
          <w:szCs w:val="21"/>
        </w:rPr>
        <w:t>参加投标，并提交招标文件规定份数的投标文件正本和副本。我方提交的全部投标文件均由下述部分组成：</w:t>
      </w:r>
    </w:p>
    <w:p w14:paraId="3403295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（1）资格及资信证明部分</w:t>
      </w:r>
    </w:p>
    <w:p w14:paraId="29B1184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①投标函</w:t>
      </w:r>
    </w:p>
    <w:p w14:paraId="221D6C6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②投标人的资格及资信证明文件</w:t>
      </w:r>
    </w:p>
    <w:p w14:paraId="78F96D2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③投标保证金</w:t>
      </w:r>
    </w:p>
    <w:p w14:paraId="58178A8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（2）报价部分</w:t>
      </w:r>
    </w:p>
    <w:p w14:paraId="0DEC7E9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①开标一览表</w:t>
      </w:r>
    </w:p>
    <w:p w14:paraId="266EE45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②投标分项报价表</w:t>
      </w:r>
    </w:p>
    <w:p w14:paraId="4DF86D9B">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③招标文件规定的价格扣除证明材料（若有）</w:t>
      </w:r>
    </w:p>
    <w:p w14:paraId="7B3257E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④招标文件规定的加分证明材料（若有）</w:t>
      </w:r>
    </w:p>
    <w:p w14:paraId="21CC1B3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（3）技术商务部分</w:t>
      </w:r>
    </w:p>
    <w:p w14:paraId="71D4FB7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①标的说明一览表</w:t>
      </w:r>
    </w:p>
    <w:p w14:paraId="7E994F8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②技术和服务要求响应表</w:t>
      </w:r>
    </w:p>
    <w:p w14:paraId="5FEA7AD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③商务条件响应表</w:t>
      </w:r>
    </w:p>
    <w:p w14:paraId="40AD10D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④投标人提交的其他资料（若有）</w:t>
      </w:r>
    </w:p>
    <w:p w14:paraId="65E377C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根据本函，本投标人代表宣布我方保证遵守招标文件的全部规定，同时：</w:t>
      </w:r>
    </w:p>
    <w:p w14:paraId="4327D613">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w:t>
      </w:r>
      <w:r>
        <w:rPr>
          <w:rStyle w:val="8"/>
          <w:rFonts w:hint="eastAsia" w:ascii="宋体" w:hAnsi="宋体" w:eastAsia="宋体" w:cs="宋体"/>
          <w:b/>
          <w:sz w:val="21"/>
          <w:szCs w:val="21"/>
        </w:rPr>
        <w:t>确认：</w:t>
      </w:r>
    </w:p>
    <w:p w14:paraId="066D137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1.1所投合同包的投标报价详见“开标一览表”及“投标分项报价表”。</w:t>
      </w:r>
    </w:p>
    <w:p w14:paraId="2BDD34B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1.2我方已详细审查全部招标文件</w:t>
      </w:r>
      <w:r>
        <w:rPr>
          <w:rFonts w:hint="default" w:ascii="Calibri" w:hAnsi="Calibri" w:eastAsia="宋体" w:cs="Calibri"/>
          <w:sz w:val="21"/>
          <w:szCs w:val="21"/>
        </w:rPr>
        <w:t>[</w:t>
      </w:r>
      <w:r>
        <w:rPr>
          <w:rFonts w:hint="eastAsia" w:ascii="宋体" w:hAnsi="宋体" w:eastAsia="宋体" w:cs="宋体"/>
          <w:sz w:val="21"/>
          <w:szCs w:val="21"/>
        </w:rPr>
        <w:t>包括但不限于：有关附件（若有）、澄清或修改（若有）等</w:t>
      </w:r>
      <w:r>
        <w:rPr>
          <w:rFonts w:hint="default" w:ascii="Calibri" w:hAnsi="Calibri" w:eastAsia="宋体" w:cs="Calibri"/>
          <w:sz w:val="21"/>
          <w:szCs w:val="21"/>
        </w:rPr>
        <w:t>]</w:t>
      </w:r>
      <w:r>
        <w:rPr>
          <w:rFonts w:hint="eastAsia" w:ascii="宋体" w:hAnsi="宋体" w:eastAsia="宋体" w:cs="宋体"/>
          <w:sz w:val="21"/>
          <w:szCs w:val="21"/>
        </w:rPr>
        <w:t>，并自行承担因对全部招标文件理解不正确或误解而产生的相应后果和责任。</w:t>
      </w:r>
    </w:p>
    <w:p w14:paraId="543CAE9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w:t>
      </w:r>
      <w:r>
        <w:rPr>
          <w:rStyle w:val="8"/>
          <w:rFonts w:hint="eastAsia" w:ascii="宋体" w:hAnsi="宋体" w:eastAsia="宋体" w:cs="宋体"/>
          <w:b/>
          <w:sz w:val="21"/>
          <w:szCs w:val="21"/>
        </w:rPr>
        <w:t>承诺及声明：</w:t>
      </w:r>
    </w:p>
    <w:p w14:paraId="73EB2FB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2.1我方具备招标文件第一章载明的“投标人的资格要求”且符合招标文件第三章载明的“二、投标人”之规定，否则</w:t>
      </w:r>
      <w:r>
        <w:rPr>
          <w:rStyle w:val="8"/>
          <w:rFonts w:hint="eastAsia" w:ascii="宋体" w:hAnsi="宋体" w:eastAsia="宋体" w:cs="宋体"/>
          <w:b/>
          <w:sz w:val="21"/>
          <w:szCs w:val="21"/>
        </w:rPr>
        <w:t>投标无效。</w:t>
      </w:r>
    </w:p>
    <w:p w14:paraId="48AF81E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2.2我方提交的投标文件各组成部分的全部内容及资料是不可割离且真实、有效、准确、完整和不具有任何误导性的，否则产生不利后果由我方承担责任。</w:t>
      </w:r>
    </w:p>
    <w:p w14:paraId="630C9D5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2.3我方提供的标的价格不高于同期市场价格，否则产生不利后果由我方承担责任。</w:t>
      </w:r>
    </w:p>
    <w:p w14:paraId="2D9E3A8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2.4投标保证金：若出现招标文件第三章规定的不予退还情形，同意贵单位不予退还。</w:t>
      </w:r>
    </w:p>
    <w:p w14:paraId="492E010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2.5投标有效期：按照招标文件第三章规定执行，并在招标文件第二章载明的期限内保持有效。</w:t>
      </w:r>
    </w:p>
    <w:p w14:paraId="4C98269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2.6若中标，将按照招标文件、我方投标文件及政府采购合同履行责任和义务。</w:t>
      </w:r>
    </w:p>
    <w:p w14:paraId="72FFF3A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2.7若贵单位要求，我方同意提供与本项目投标有关的一切资料、数据或文件，并完全理解贵单位不一定要接受最低的投标报价或收到的任何投标。</w:t>
      </w:r>
    </w:p>
    <w:p w14:paraId="4EF9B58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2.8除招标文件另有规定外，对于贵单位按照下述联络方式发出的任何信息或通知，均视为我方已收悉前述信息或通知的全部内容：</w:t>
      </w:r>
    </w:p>
    <w:p w14:paraId="1384D8B3">
      <w:pPr>
        <w:pStyle w:val="5"/>
        <w:keepNext w:val="0"/>
        <w:keepLines w:val="0"/>
        <w:widowControl/>
        <w:suppressLineNumbers w:val="0"/>
        <w:spacing w:before="0" w:beforeAutospacing="0" w:after="150" w:afterAutospacing="0"/>
        <w:ind w:left="0" w:right="0" w:firstLine="420"/>
        <w:rPr>
          <w:rFonts w:hint="eastAsia" w:ascii="宋体" w:hAnsi="宋体" w:eastAsia="宋体" w:cs="宋体"/>
          <w:sz w:val="21"/>
          <w:szCs w:val="21"/>
          <w:u w:val="single"/>
        </w:rPr>
      </w:pPr>
      <w:r>
        <w:rPr>
          <w:rFonts w:hint="eastAsia" w:ascii="宋体" w:hAnsi="宋体" w:eastAsia="宋体" w:cs="宋体"/>
          <w:sz w:val="21"/>
          <w:szCs w:val="21"/>
        </w:rPr>
        <w:t>通信地址：</w:t>
      </w:r>
      <w:r>
        <w:rPr>
          <w:rFonts w:hint="eastAsia" w:ascii="宋体" w:hAnsi="宋体" w:eastAsia="宋体" w:cs="宋体"/>
          <w:sz w:val="21"/>
          <w:szCs w:val="21"/>
          <w:u w:val="single"/>
        </w:rPr>
        <w:t>               </w:t>
      </w:r>
    </w:p>
    <w:p w14:paraId="7598EC5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邮编：</w:t>
      </w:r>
      <w:r>
        <w:rPr>
          <w:rFonts w:hint="eastAsia" w:ascii="宋体" w:hAnsi="宋体" w:eastAsia="宋体" w:cs="宋体"/>
          <w:sz w:val="21"/>
          <w:szCs w:val="21"/>
          <w:u w:val="single"/>
        </w:rPr>
        <w:t>                 </w:t>
      </w:r>
    </w:p>
    <w:p w14:paraId="1507211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联系方法：</w:t>
      </w:r>
      <w:r>
        <w:rPr>
          <w:rFonts w:hint="eastAsia" w:ascii="宋体" w:hAnsi="宋体" w:eastAsia="宋体" w:cs="宋体"/>
          <w:sz w:val="21"/>
          <w:szCs w:val="21"/>
          <w:u w:val="single"/>
        </w:rPr>
        <w:t>（包括但不限于：联系人、联系电话、手机、传真、电子邮箱等）</w:t>
      </w:r>
    </w:p>
    <w:p w14:paraId="798A20FB">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14:paraId="7946E4F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34E845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083F925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23A50B8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3066298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9AECAB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7544D0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6F44DB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64610C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89241A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3F1893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0A4080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C64FE3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87BD1C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E140D2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14323D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56CFBD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581AC3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17C63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F40DC18">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二、投标人的资格及资信证明文件</w:t>
      </w:r>
    </w:p>
    <w:p w14:paraId="6FC9F06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90C684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二-1单位负责人授权书（若有）</w:t>
      </w:r>
    </w:p>
    <w:p w14:paraId="1BDCCF4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220C15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24E4601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我方的单位负责人</w:t>
      </w:r>
      <w:r>
        <w:rPr>
          <w:rFonts w:hint="eastAsia" w:ascii="宋体" w:hAnsi="宋体" w:eastAsia="宋体" w:cs="宋体"/>
          <w:sz w:val="21"/>
          <w:szCs w:val="21"/>
          <w:u w:val="single"/>
        </w:rPr>
        <w:t>（填写“单位负责人全名”）</w:t>
      </w:r>
      <w:r>
        <w:rPr>
          <w:rFonts w:hint="eastAsia" w:ascii="宋体" w:hAnsi="宋体" w:eastAsia="宋体" w:cs="宋体"/>
          <w:sz w:val="21"/>
          <w:szCs w:val="21"/>
        </w:rPr>
        <w:t>授权</w:t>
      </w:r>
      <w:r>
        <w:rPr>
          <w:rFonts w:hint="eastAsia" w:ascii="宋体" w:hAnsi="宋体" w:eastAsia="宋体" w:cs="宋体"/>
          <w:sz w:val="21"/>
          <w:szCs w:val="21"/>
          <w:u w:val="single"/>
        </w:rPr>
        <w:t>（填写“投标人代表全名”）</w:t>
      </w:r>
      <w:r>
        <w:rPr>
          <w:rFonts w:hint="eastAsia" w:ascii="宋体" w:hAnsi="宋体" w:eastAsia="宋体" w:cs="宋体"/>
          <w:sz w:val="21"/>
          <w:szCs w:val="21"/>
        </w:rPr>
        <w:t>为投标人代表，代表我方参加</w:t>
      </w:r>
      <w:r>
        <w:rPr>
          <w:rFonts w:hint="eastAsia" w:ascii="宋体" w:hAnsi="宋体" w:eastAsia="宋体" w:cs="宋体"/>
          <w:sz w:val="21"/>
          <w:szCs w:val="21"/>
          <w:u w:val="single"/>
        </w:rPr>
        <w:t>（填写“项目名称”）</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全权代表我方处理投标过程的一切事宜，包括但不限于：投标、参加开标、谈判、澄清、签约等。投标人代表在投标过程中所签署的一切文件和处理与之有关的一切事务，我方均予以认可并对此承担责任。</w:t>
      </w:r>
    </w:p>
    <w:p w14:paraId="28B28A2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投标人代表无转委权。特此授权。</w:t>
      </w:r>
    </w:p>
    <w:p w14:paraId="30E1DB5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14:paraId="0D64C26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04158B1">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单位负责人：</w:t>
      </w:r>
      <w:r>
        <w:rPr>
          <w:rFonts w:hint="eastAsia" w:ascii="宋体" w:hAnsi="宋体" w:eastAsia="宋体" w:cs="宋体"/>
          <w:sz w:val="21"/>
          <w:szCs w:val="21"/>
          <w:u w:val="single"/>
        </w:rPr>
        <w:t>             </w:t>
      </w:r>
    </w:p>
    <w:p w14:paraId="509AFD70">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身份证号：</w:t>
      </w:r>
      <w:r>
        <w:rPr>
          <w:rFonts w:hint="eastAsia" w:ascii="宋体" w:hAnsi="宋体" w:eastAsia="宋体" w:cs="宋体"/>
          <w:sz w:val="21"/>
          <w:szCs w:val="21"/>
          <w:u w:val="single"/>
        </w:rPr>
        <w:t>              </w:t>
      </w:r>
    </w:p>
    <w:p w14:paraId="3EF60E6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手机：</w:t>
      </w:r>
      <w:r>
        <w:rPr>
          <w:rFonts w:hint="eastAsia" w:ascii="宋体" w:hAnsi="宋体" w:eastAsia="宋体" w:cs="宋体"/>
          <w:sz w:val="21"/>
          <w:szCs w:val="21"/>
          <w:u w:val="single"/>
        </w:rPr>
        <w:t>              </w:t>
      </w:r>
    </w:p>
    <w:p w14:paraId="3BDD1F7B">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投标人代表：</w:t>
      </w:r>
      <w:r>
        <w:rPr>
          <w:rFonts w:hint="eastAsia" w:ascii="宋体" w:hAnsi="宋体" w:eastAsia="宋体" w:cs="宋体"/>
          <w:sz w:val="21"/>
          <w:szCs w:val="21"/>
          <w:u w:val="single"/>
        </w:rPr>
        <w:t>             </w:t>
      </w:r>
    </w:p>
    <w:p w14:paraId="11BCDC22">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u w:val="single"/>
        </w:rPr>
      </w:pPr>
      <w:r>
        <w:rPr>
          <w:rFonts w:hint="eastAsia" w:ascii="宋体" w:hAnsi="宋体" w:eastAsia="宋体" w:cs="宋体"/>
          <w:sz w:val="21"/>
          <w:szCs w:val="21"/>
        </w:rPr>
        <w:t>身份证号：</w:t>
      </w:r>
      <w:r>
        <w:rPr>
          <w:rFonts w:hint="eastAsia" w:ascii="宋体" w:hAnsi="宋体" w:eastAsia="宋体" w:cs="宋体"/>
          <w:sz w:val="21"/>
          <w:szCs w:val="21"/>
          <w:u w:val="single"/>
        </w:rPr>
        <w:t>              </w:t>
      </w:r>
    </w:p>
    <w:p w14:paraId="6D69671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手机：</w:t>
      </w:r>
      <w:r>
        <w:rPr>
          <w:rFonts w:hint="eastAsia" w:ascii="宋体" w:hAnsi="宋体" w:eastAsia="宋体" w:cs="宋体"/>
          <w:sz w:val="21"/>
          <w:szCs w:val="21"/>
          <w:u w:val="single"/>
        </w:rPr>
        <w:t>              </w:t>
      </w:r>
    </w:p>
    <w:p w14:paraId="75C688DA">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BEDB0F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授权方</w:t>
      </w:r>
    </w:p>
    <w:p w14:paraId="2F90443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1D984A1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单位负责人签字或盖章：</w:t>
      </w:r>
      <w:r>
        <w:rPr>
          <w:rFonts w:hint="eastAsia" w:ascii="宋体" w:hAnsi="宋体" w:eastAsia="宋体" w:cs="宋体"/>
          <w:sz w:val="21"/>
          <w:szCs w:val="21"/>
          <w:u w:val="single"/>
        </w:rPr>
        <w:t>                   </w:t>
      </w:r>
    </w:p>
    <w:p w14:paraId="5FE0783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6AAD39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接受授权方</w:t>
      </w:r>
    </w:p>
    <w:p w14:paraId="20ED482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3C5986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B1B77EE">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5D13632B">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15C351C9">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p>
    <w:p w14:paraId="04F88095">
      <w:pPr>
        <w:pStyle w:val="5"/>
        <w:keepNext w:val="0"/>
        <w:keepLines w:val="0"/>
        <w:widowControl/>
        <w:suppressLineNumbers w:val="0"/>
        <w:spacing w:before="0" w:beforeAutospacing="0" w:after="150" w:afterAutospacing="0"/>
        <w:ind w:left="0" w:right="0"/>
        <w:rPr>
          <w:rFonts w:hint="eastAsia" w:ascii="宋体" w:hAnsi="宋体" w:eastAsia="宋体" w:cs="宋体"/>
          <w:sz w:val="21"/>
          <w:szCs w:val="21"/>
        </w:rPr>
      </w:pPr>
    </w:p>
    <w:p w14:paraId="10E689B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附：单位负责人、投标人代表的身份证正反面复印件</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8520"/>
      </w:tblGrid>
      <w:tr w14:paraId="3E1F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8520" w:type="dxa"/>
            <w:tcBorders>
              <w:tl2br w:val="nil"/>
              <w:tr2bl w:val="nil"/>
            </w:tcBorders>
            <w:shd w:val="clear" w:color="auto" w:fill="auto"/>
            <w:tcMar>
              <w:top w:w="0" w:type="dxa"/>
              <w:left w:w="105" w:type="dxa"/>
              <w:bottom w:w="0" w:type="dxa"/>
              <w:right w:w="105" w:type="dxa"/>
            </w:tcMar>
            <w:vAlign w:val="center"/>
          </w:tcPr>
          <w:p w14:paraId="780F751E">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14:paraId="675CF43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要求：真实有效且内容完整、清晰、整洁。</w:t>
            </w:r>
          </w:p>
          <w:p w14:paraId="5B302D3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tc>
      </w:tr>
    </w:tbl>
    <w:p w14:paraId="2E974CA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181D9E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1FB39BE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1、企业（银行、保险、石油石化、电力、电信等行业除外）、事业单位和社会团体法人的“单位负责人”指</w:t>
      </w:r>
      <w:r>
        <w:rPr>
          <w:rStyle w:val="8"/>
          <w:rFonts w:hint="eastAsia" w:ascii="宋体" w:hAnsi="宋体" w:eastAsia="宋体" w:cs="宋体"/>
          <w:b/>
          <w:sz w:val="21"/>
          <w:szCs w:val="21"/>
        </w:rPr>
        <w:t>法定代表人</w:t>
      </w:r>
      <w:r>
        <w:rPr>
          <w:rFonts w:hint="eastAsia" w:ascii="宋体" w:hAnsi="宋体" w:eastAsia="宋体" w:cs="宋体"/>
          <w:sz w:val="21"/>
          <w:szCs w:val="21"/>
        </w:rPr>
        <w:t>，即与实际提交的“营业执照等证明文件”载明的一致。</w:t>
      </w:r>
    </w:p>
    <w:p w14:paraId="4553B0B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银行、保险、石油石化、电力、电信等行业：以法人身份参加投标的，“单位负责人”指法定代表人，即与实际提交的“营业执照等证明文件”载明的一致；以非法人身份参加投标的，“单位负责人”指代表单位行使职权的主要负责人，即与实际提交的“营业执照等证明文件”载明的一致。</w:t>
      </w:r>
    </w:p>
    <w:p w14:paraId="0645E18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3、投标人（自然人除外）：若投标人代表为单位负责人授权的委托代理人，应提供本授权书；若投标人代表为单位负责人，应在此项下提交其身份证正反面复印件，可不提供本授权书。</w:t>
      </w:r>
      <w:r>
        <w:rPr>
          <w:rFonts w:hint="eastAsia" w:ascii="宋体" w:hAnsi="宋体" w:eastAsia="宋体" w:cs="宋体"/>
          <w:sz w:val="21"/>
          <w:szCs w:val="21"/>
        </w:rPr>
        <w:br w:type="textWrapping"/>
      </w:r>
      <w:r>
        <w:rPr>
          <w:rFonts w:hint="eastAsia" w:ascii="宋体" w:hAnsi="宋体" w:eastAsia="宋体" w:cs="宋体"/>
          <w:sz w:val="21"/>
          <w:szCs w:val="21"/>
        </w:rPr>
        <w:t>4、投标人为自然人的，可不填写本授权书。</w:t>
      </w:r>
      <w:r>
        <w:rPr>
          <w:rFonts w:hint="eastAsia" w:ascii="宋体" w:hAnsi="宋体" w:eastAsia="宋体" w:cs="宋体"/>
          <w:sz w:val="21"/>
          <w:szCs w:val="21"/>
        </w:rPr>
        <w:br w:type="textWrapping"/>
      </w:r>
      <w:r>
        <w:rPr>
          <w:rFonts w:hint="eastAsia" w:ascii="宋体" w:hAnsi="宋体" w:eastAsia="宋体" w:cs="宋体"/>
          <w:sz w:val="21"/>
          <w:szCs w:val="21"/>
        </w:rPr>
        <w:t>5、纸质投标文件正本中的本授权书（若有）应为原件。</w:t>
      </w:r>
    </w:p>
    <w:p w14:paraId="7B198407">
      <w:pPr>
        <w:pStyle w:val="5"/>
        <w:keepNext w:val="0"/>
        <w:keepLines w:val="0"/>
        <w:widowControl/>
        <w:suppressLineNumbers w:val="0"/>
        <w:spacing w:before="0" w:beforeAutospacing="0" w:after="150" w:afterAutospacing="0"/>
        <w:ind w:left="0" w:right="0"/>
      </w:pPr>
    </w:p>
    <w:p w14:paraId="77C2230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6278C6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C31A65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547032F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6BDE7B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5832F4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9D8165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F1034A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604B2C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381B94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3FA662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A32385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5C3D51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A11E59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61F72CF">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二-2营业执照等证明文件</w:t>
      </w:r>
    </w:p>
    <w:p w14:paraId="630D892C">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D37865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074CD0C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）投标人为法人（包括企业、事业单位和社会团体）的</w:t>
      </w:r>
    </w:p>
    <w:p w14:paraId="51C1D21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签发的我方统一社会信用代码</w:t>
      </w:r>
      <w:r>
        <w:rPr>
          <w:rFonts w:hint="eastAsia" w:ascii="宋体" w:hAnsi="宋体" w:eastAsia="宋体" w:cs="宋体"/>
          <w:sz w:val="21"/>
          <w:szCs w:val="21"/>
          <w:u w:val="single"/>
        </w:rPr>
        <w:t>（请填写法人的具体证照名称）</w:t>
      </w:r>
      <w:r>
        <w:rPr>
          <w:rFonts w:hint="eastAsia" w:ascii="宋体" w:hAnsi="宋体" w:eastAsia="宋体" w:cs="宋体"/>
          <w:sz w:val="21"/>
          <w:szCs w:val="21"/>
        </w:rPr>
        <w:t>复印件，该证明材料真实有效，否则我方负全部责任。</w:t>
      </w:r>
    </w:p>
    <w:p w14:paraId="6D8673E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）投标人为非法人（包括其他组织、自然人）的</w:t>
      </w:r>
    </w:p>
    <w:p w14:paraId="1D063CD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（请填写非自然人的非法人的具体证照名称）</w:t>
      </w:r>
      <w:r>
        <w:rPr>
          <w:rFonts w:hint="eastAsia" w:ascii="宋体" w:hAnsi="宋体" w:eastAsia="宋体" w:cs="宋体"/>
          <w:sz w:val="21"/>
          <w:szCs w:val="21"/>
        </w:rPr>
        <w:t>复印件，该证明材料真实有效，否则我方负全部责任。</w:t>
      </w:r>
    </w:p>
    <w:p w14:paraId="7EE2B48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w:t>
      </w:r>
      <w:r>
        <w:rPr>
          <w:rFonts w:hint="eastAsia" w:ascii="宋体" w:hAnsi="宋体" w:eastAsia="宋体" w:cs="宋体"/>
          <w:sz w:val="21"/>
          <w:szCs w:val="21"/>
          <w:u w:val="single"/>
        </w:rPr>
        <w:t>（填写“签发机关全称”）</w:t>
      </w:r>
      <w:r>
        <w:rPr>
          <w:rFonts w:hint="eastAsia" w:ascii="宋体" w:hAnsi="宋体" w:eastAsia="宋体" w:cs="宋体"/>
          <w:sz w:val="21"/>
          <w:szCs w:val="21"/>
        </w:rPr>
        <w:t>签发的我方</w:t>
      </w:r>
      <w:r>
        <w:rPr>
          <w:rFonts w:hint="eastAsia" w:ascii="宋体" w:hAnsi="宋体" w:eastAsia="宋体" w:cs="宋体"/>
          <w:sz w:val="21"/>
          <w:szCs w:val="21"/>
          <w:u w:val="single"/>
        </w:rPr>
        <w:t>（请填写自然人的身份证件名称）</w:t>
      </w:r>
      <w:r>
        <w:rPr>
          <w:rFonts w:hint="eastAsia" w:ascii="宋体" w:hAnsi="宋体" w:eastAsia="宋体" w:cs="宋体"/>
          <w:sz w:val="21"/>
          <w:szCs w:val="21"/>
        </w:rPr>
        <w:t>复印件，该证明材料真实有效，否则我方负全部责任。</w:t>
      </w:r>
    </w:p>
    <w:p w14:paraId="5E80EFFC">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157948C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224AA47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14:paraId="276E2B7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企业的，提供有效的营业执照复印件；投标人为事业单位的，提供有效的事业单位法人证书复印件；投标人为社会团体的，提供有效的社会团体法人登记证书复印件；投标人为合伙企业、个体工商户的，提供有效的营业执照复印件；投标人为非企业专业服务机构的，提供有效的执业许可证等证明材料复印件；投标人为自然人的，提供有效的自然人身份证件复印件；其他投标人应按照有关法律、法规和规章规定，提供有效的相应具体证照复印件。</w:t>
      </w:r>
    </w:p>
    <w:p w14:paraId="1EA1E43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3、投标人提供的相应证明材料复印件均应符合：内容完整、清晰、整洁，并由投标人加盖其单位公章。</w:t>
      </w:r>
    </w:p>
    <w:p w14:paraId="45F07B1E">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6F4502F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84CCB8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72AEAB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1E8858F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105C1CB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BA1FA2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5E67BD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1ABBF12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8629B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D065B43">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二-3财务状况报告（财务报告、或资信证明、或投标担保函）</w:t>
      </w:r>
    </w:p>
    <w:p w14:paraId="58E7E99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CF94FE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559011C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）投标人提供财务报告的</w:t>
      </w:r>
    </w:p>
    <w:p w14:paraId="73F3152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□企业适用：现附上我方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财务报告复印件，包括资产负债表、利润表、现金流量表、所有者权益变动表（若有）及其附注（若有），上述证明材料真实有效，否则我方负全部责任。</w:t>
      </w:r>
    </w:p>
    <w:p w14:paraId="7DB6808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□事业单位适用：现附上我方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财务报告复印件，包括资产负债表、收入支出表（或收入费用表）、财政补助收入支出表（若有），上述证明材料真实有效，否则我方负全部责任。</w:t>
      </w:r>
    </w:p>
    <w:p w14:paraId="5CEA02F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□社会团体适用：现附上我方</w:t>
      </w:r>
      <w:r>
        <w:rPr>
          <w:rFonts w:hint="eastAsia" w:ascii="宋体" w:hAnsi="宋体" w:eastAsia="宋体" w:cs="宋体"/>
          <w:sz w:val="21"/>
          <w:szCs w:val="21"/>
          <w:u w:val="single"/>
        </w:rPr>
        <w:t>（填写“具体的年度、或半年度、或季度”）</w:t>
      </w:r>
      <w:r>
        <w:rPr>
          <w:rFonts w:hint="eastAsia" w:ascii="宋体" w:hAnsi="宋体" w:eastAsia="宋体" w:cs="宋体"/>
          <w:sz w:val="21"/>
          <w:szCs w:val="21"/>
        </w:rPr>
        <w:t>财务报告复印件，包括资产负债表、业务活动表、现金流量表，上述证明材料真实有效，否则我方负全部责任。</w:t>
      </w:r>
    </w:p>
    <w:p w14:paraId="67DC418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）投标人提供资信证明的</w:t>
      </w:r>
    </w:p>
    <w:p w14:paraId="0D8F7A43">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非自然人适用（包括企业、事业单位、社会团体和其他组织）：现附上我方开户（基本存款账户）许可证复印件及我方银行：（填写“基本存款账户的开户银行全称”）出具的资信证明复印件，上述证明材料真实有效，否则我方负全部责任。</w:t>
      </w:r>
    </w:p>
    <w:p w14:paraId="20A9F9F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□自然人适用：现附上我方银行：</w:t>
      </w:r>
      <w:r>
        <w:rPr>
          <w:rFonts w:hint="eastAsia" w:ascii="宋体" w:hAnsi="宋体" w:eastAsia="宋体" w:cs="宋体"/>
          <w:sz w:val="21"/>
          <w:szCs w:val="21"/>
          <w:u w:val="single"/>
        </w:rPr>
        <w:t>（填写自然人的“个人账户的开户银行全称”）</w:t>
      </w:r>
      <w:r>
        <w:rPr>
          <w:rFonts w:hint="eastAsia" w:ascii="宋体" w:hAnsi="宋体" w:eastAsia="宋体" w:cs="宋体"/>
          <w:sz w:val="21"/>
          <w:szCs w:val="21"/>
        </w:rPr>
        <w:t>出具的资信证明复印件，上述证明材料真实有效，否则我方负全部责任。</w:t>
      </w:r>
    </w:p>
    <w:p w14:paraId="73F810F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）投标人提供投标担保函的</w:t>
      </w:r>
    </w:p>
    <w:p w14:paraId="3969A6C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现附上由财政部门认可的政府采购专业担保机构：</w:t>
      </w:r>
      <w:r>
        <w:rPr>
          <w:rFonts w:hint="eastAsia" w:ascii="宋体" w:hAnsi="宋体" w:eastAsia="宋体" w:cs="宋体"/>
          <w:sz w:val="21"/>
          <w:szCs w:val="21"/>
          <w:u w:val="single"/>
        </w:rPr>
        <w:t>（填写“担保机构全称”）</w:t>
      </w:r>
      <w:r>
        <w:rPr>
          <w:rFonts w:hint="eastAsia" w:ascii="宋体" w:hAnsi="宋体" w:eastAsia="宋体" w:cs="宋体"/>
          <w:sz w:val="21"/>
          <w:szCs w:val="21"/>
        </w:rPr>
        <w:t>出具的投标担保函复印件，上述证明材料真实有效，否则我方负全部责任。</w:t>
      </w:r>
    </w:p>
    <w:p w14:paraId="3E42AFC2">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1BC21E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6D9D071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1、请投标人按照实际情况编制填写，在相应的（）中打“√”并选择相应的“□”（若有）后，再按照本格式的要求提供相应证明材料的复印件。</w:t>
      </w:r>
    </w:p>
    <w:p w14:paraId="6412B97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2、投标人提供的财务报告复印件（成立年限按照投标截止时间推算）应符合下列规定：</w:t>
      </w:r>
    </w:p>
    <w:p w14:paraId="131C134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2.1成立年限满</w:t>
      </w:r>
      <w:r>
        <w:rPr>
          <w:rFonts w:hint="default" w:ascii="Calibri" w:hAnsi="Calibri" w:eastAsia="宋体" w:cs="Calibri"/>
          <w:sz w:val="21"/>
          <w:szCs w:val="21"/>
        </w:rPr>
        <w:t>1</w:t>
      </w:r>
      <w:r>
        <w:rPr>
          <w:rFonts w:hint="eastAsia" w:ascii="宋体" w:hAnsi="宋体" w:eastAsia="宋体" w:cs="宋体"/>
          <w:sz w:val="21"/>
          <w:szCs w:val="21"/>
        </w:rPr>
        <w:t>年及以上的投标人，提供经审计的上一年度的年度财务报告。</w:t>
      </w:r>
    </w:p>
    <w:p w14:paraId="7A019CE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2.2成立年限满半年但不足</w:t>
      </w:r>
      <w:r>
        <w:rPr>
          <w:rFonts w:hint="default" w:ascii="Calibri" w:hAnsi="Calibri" w:eastAsia="宋体" w:cs="Calibri"/>
          <w:sz w:val="21"/>
          <w:szCs w:val="21"/>
        </w:rPr>
        <w:t>1</w:t>
      </w:r>
      <w:r>
        <w:rPr>
          <w:rFonts w:hint="eastAsia" w:ascii="宋体" w:hAnsi="宋体" w:eastAsia="宋体" w:cs="宋体"/>
          <w:sz w:val="21"/>
          <w:szCs w:val="21"/>
        </w:rPr>
        <w:t>年的投标人，提供该半年度中任一季度的季度财务报告或该半年度的半年度财务报告。</w:t>
      </w:r>
    </w:p>
    <w:p w14:paraId="7687AC27">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4"/>
          <w:szCs w:val="24"/>
        </w:rPr>
        <w:t>※无法按照本格式第2.1、2.2条规定提供财务报告复印件的投标人（包括但不限于：成立年限满1年及以上的投标人、成立年限满半年但不足1年的投标人、成立年限不足半年的投标人），应按照本格式的要求选择提供资信证明复印件或投标担保函复印件，其中：非自然人的投标人选择提供资信证明的，还应附上其开户（基本存款账户）许可证复印件。</w:t>
      </w:r>
    </w:p>
    <w:p w14:paraId="6F15AE8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3、“财政部门认可的政府采购专业担保机构”应符合《财政部关于开展政府采购信用担保试点工作方案》（财库</w:t>
      </w:r>
      <w:r>
        <w:rPr>
          <w:rFonts w:hint="default" w:ascii="Calibri" w:hAnsi="Calibri" w:eastAsia="宋体" w:cs="Calibri"/>
          <w:sz w:val="21"/>
          <w:szCs w:val="21"/>
        </w:rPr>
        <w:t>[2012]124</w:t>
      </w:r>
      <w:r>
        <w:rPr>
          <w:rFonts w:hint="eastAsia" w:ascii="宋体" w:hAnsi="宋体" w:eastAsia="宋体" w:cs="宋体"/>
          <w:sz w:val="21"/>
          <w:szCs w:val="21"/>
        </w:rPr>
        <w:t>号）的规定。</w:t>
      </w:r>
    </w:p>
    <w:p w14:paraId="1254A67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14:paraId="00E6A8B4">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1688C468">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9BAB6C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4DB76C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009B305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56838A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6C4CCD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B57FDC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6B1C3A3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72B227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076B12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6DB74A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656B7D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62D80D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AC4420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D5F3D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E9D54B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06930A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E66270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F2F4EA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74782E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70753C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A870EF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F9D971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B458B0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2C639E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A58CA9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-4依法缴纳税收证明材料</w:t>
      </w:r>
    </w:p>
    <w:p w14:paraId="3320CD4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F223EE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154BB8D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1、依法缴纳税收的投标人</w:t>
      </w:r>
    </w:p>
    <w:p w14:paraId="1DB30D9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14:paraId="4653788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（按照投标人实际缴纳的税种名称填写，如：增值税、所得税等）</w:t>
      </w:r>
      <w:r>
        <w:rPr>
          <w:rFonts w:hint="eastAsia" w:ascii="宋体" w:hAnsi="宋体" w:eastAsia="宋体" w:cs="宋体"/>
          <w:sz w:val="21"/>
          <w:szCs w:val="21"/>
        </w:rPr>
        <w:t>税收凭据复印件，上述证明材料真实有效，否则我方负全部责任。</w:t>
      </w:r>
    </w:p>
    <w:p w14:paraId="24B1368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14:paraId="52D1126B">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日期间我方缴纳的</w:t>
      </w:r>
      <w:r>
        <w:rPr>
          <w:rFonts w:hint="eastAsia" w:ascii="宋体" w:hAnsi="宋体" w:eastAsia="宋体" w:cs="宋体"/>
          <w:sz w:val="21"/>
          <w:szCs w:val="21"/>
          <w:u w:val="single"/>
        </w:rPr>
        <w:t>（按照投标人实际缴纳的税种名称填写）</w:t>
      </w:r>
      <w:r>
        <w:rPr>
          <w:rFonts w:hint="eastAsia" w:ascii="宋体" w:hAnsi="宋体" w:eastAsia="宋体" w:cs="宋体"/>
          <w:sz w:val="21"/>
          <w:szCs w:val="21"/>
        </w:rPr>
        <w:t>税收凭据复印件，上述证明材料真实有效，否则我方负全部责任。</w:t>
      </w:r>
    </w:p>
    <w:p w14:paraId="7597B51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2、依法免税的投标人</w:t>
      </w:r>
    </w:p>
    <w:p w14:paraId="37D371E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）现附上我方依法免税证明材料复印件，上述证明材料真实有效，否则我方负全部责任。</w:t>
      </w:r>
    </w:p>
    <w:p w14:paraId="025DC218">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C27588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22BA4AE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14:paraId="1544135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2、投标人提供的税收凭据复印件应符合下列规定：</w:t>
      </w:r>
    </w:p>
    <w:p w14:paraId="07BBCF0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2.1投标截止时间前（不含投标截止时间的当月）已依法缴纳税收的投标人，提供投标截止时间前六个月（不含投标截止时间的当月）中任一月份的税收凭据复印件。</w:t>
      </w:r>
    </w:p>
    <w:p w14:paraId="3A2A219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2.2投标截止时间的当月成立且已依法缴纳税收的投标人，提供投标截止时间当月的税收凭据复印件。</w:t>
      </w:r>
    </w:p>
    <w:p w14:paraId="3F9B18E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2.3投标截止时间的当月成立但因税务机关原因导致其尚未依法缴纳税收的投标人，提供依法缴纳税收承诺书原件（格式自拟），该承诺书视同税收凭据。</w:t>
      </w:r>
    </w:p>
    <w:p w14:paraId="6A6DC46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“依法缴纳税收证明材料”</w:t>
      </w:r>
      <w:r>
        <w:rPr>
          <w:rFonts w:hint="eastAsia" w:ascii="宋体" w:hAnsi="宋体" w:eastAsia="宋体" w:cs="宋体"/>
          <w:sz w:val="21"/>
          <w:szCs w:val="21"/>
        </w:rPr>
        <w:t>有欠缴记录的，视为</w:t>
      </w:r>
      <w:r>
        <w:rPr>
          <w:rStyle w:val="8"/>
          <w:rFonts w:hint="eastAsia" w:ascii="宋体" w:hAnsi="宋体" w:eastAsia="宋体" w:cs="宋体"/>
          <w:b/>
          <w:sz w:val="21"/>
          <w:szCs w:val="21"/>
        </w:rPr>
        <w:t>未依法缴纳税收。</w:t>
      </w:r>
    </w:p>
    <w:p w14:paraId="7DD89EF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14:paraId="2154162F">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5164A12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5443F3C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FF496F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D0A140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r>
        <w:rPr>
          <w:rStyle w:val="8"/>
          <w:rFonts w:hint="eastAsia" w:ascii="宋体" w:hAnsi="宋体" w:eastAsia="宋体" w:cs="宋体"/>
          <w:b/>
          <w:sz w:val="21"/>
          <w:szCs w:val="21"/>
        </w:rPr>
        <w:t>二-5依法缴纳社会保障资金证明材料</w:t>
      </w:r>
    </w:p>
    <w:p w14:paraId="38AE9A0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0DE0B1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27163A8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1、依法缴纳社会保障资金的投标人</w:t>
      </w:r>
    </w:p>
    <w:p w14:paraId="6EFB23B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）法人（包括企业、事业单位和社会团体）的</w:t>
      </w:r>
    </w:p>
    <w:p w14:paraId="629AC07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14:paraId="331FD53A">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）非法人（包括其他组织、自然人）的</w:t>
      </w:r>
    </w:p>
    <w:p w14:paraId="68AA58C2">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自</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日我方缴纳的社会保险凭据（限：税务机关/社会保障资金管理机关的专用收据或社会保险缴纳清单，或社会保险的银行缴款收讫凭证）复印件，上述证明材料真实有效，否则我方负全部责任。</w:t>
      </w:r>
    </w:p>
    <w:p w14:paraId="7A14952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2、依法不需要缴纳社会保障资金的投标人</w:t>
      </w:r>
    </w:p>
    <w:p w14:paraId="3AF0DB2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）现附上我方依法不需要缴纳社会保障资金证明材料复印件，上述证明材料真实有效，否则我方负全部责任。</w:t>
      </w:r>
    </w:p>
    <w:p w14:paraId="6AF173F3">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0E89E87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020CBB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1、请投标人按照实际情况编制填写，在相应的（）中打“√”，并按照本格式的要求提供相应证明材料的复印件。</w:t>
      </w:r>
    </w:p>
    <w:p w14:paraId="0F14A89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2、投标人提供的社会保险凭据复印件应符合下列规定：</w:t>
      </w:r>
    </w:p>
    <w:p w14:paraId="1C56E96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2.1投标截止时间前（不含投标截止时间的当月）已依法缴纳社会保障资金的投标人，提供投标截止时间前六个月（不含投标截止时间的当月）中任一月份的社会保险凭据复印件。</w:t>
      </w:r>
    </w:p>
    <w:p w14:paraId="640D297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2.2投标截止时间的当月成立且已依法缴纳社会保障资金的投标人，提供投标截止时间当月的社会保险凭据复印件。</w:t>
      </w:r>
    </w:p>
    <w:p w14:paraId="01E152B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2.3投标截止时间的当月成立但因税务机关</w:t>
      </w:r>
      <w:r>
        <w:rPr>
          <w:rFonts w:hint="default" w:ascii="Calibri" w:hAnsi="Calibri" w:eastAsia="宋体" w:cs="Calibri"/>
          <w:sz w:val="21"/>
          <w:szCs w:val="21"/>
        </w:rPr>
        <w:t>/</w:t>
      </w:r>
      <w:r>
        <w:rPr>
          <w:rFonts w:hint="eastAsia" w:ascii="宋体" w:hAnsi="宋体" w:eastAsia="宋体" w:cs="宋体"/>
          <w:sz w:val="21"/>
          <w:szCs w:val="21"/>
        </w:rPr>
        <w:t>社会保障资金管理机关原因导致其尚未依法缴纳社会保障资金的投标人，提供依法缴纳社会保障资金承诺书原件（格式自拟），该承诺书视同社会保险凭据。</w:t>
      </w:r>
    </w:p>
    <w:p w14:paraId="4E472FC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“依法缴纳社会保障资金证明材料”</w:t>
      </w:r>
      <w:r>
        <w:rPr>
          <w:rFonts w:hint="eastAsia" w:ascii="宋体" w:hAnsi="宋体" w:eastAsia="宋体" w:cs="宋体"/>
          <w:sz w:val="21"/>
          <w:szCs w:val="21"/>
        </w:rPr>
        <w:t>有欠缴记录的，视为</w:t>
      </w:r>
      <w:r>
        <w:rPr>
          <w:rStyle w:val="8"/>
          <w:rFonts w:hint="eastAsia" w:ascii="宋体" w:hAnsi="宋体" w:eastAsia="宋体" w:cs="宋体"/>
          <w:b/>
          <w:sz w:val="21"/>
          <w:szCs w:val="21"/>
        </w:rPr>
        <w:t>未依法缴纳社会保障资金。</w:t>
      </w:r>
    </w:p>
    <w:p w14:paraId="6E5198F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4、投标人提供的相应证明材料复印件均应符合：内容完整、清晰、整洁，并由投标人加盖其单位公章。</w:t>
      </w:r>
    </w:p>
    <w:p w14:paraId="061E97C9">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9CDA40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7708CE3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0509E40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261673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二</w:t>
      </w:r>
      <w:r>
        <w:rPr>
          <w:rStyle w:val="8"/>
          <w:rFonts w:hint="eastAsia" w:ascii="宋体" w:hAnsi="宋体" w:eastAsia="宋体" w:cs="宋体"/>
          <w:b/>
          <w:sz w:val="21"/>
          <w:szCs w:val="21"/>
        </w:rPr>
        <w:t>-6具备履行合同所必需设备和专业技术能力的声明函（若有）</w:t>
      </w:r>
    </w:p>
    <w:p w14:paraId="0F61B9A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1A715C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6052EC1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我方具备履行合同所必需的设备和专业技术能力，否则产生不利后果由我方承担责任。</w:t>
      </w:r>
    </w:p>
    <w:p w14:paraId="2984D00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14:paraId="59721F2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EE6867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1468B2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1、招标文件未要求投标人提供“具备履行合同所必需的设备和专业技术能力专项证明材料”的，投标人应提供本声明函。</w:t>
      </w:r>
    </w:p>
    <w:p w14:paraId="5503242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2、招标文件要求投标人提供“具备履行合同所必需的设备和专业技术能力专项证明材料”的，投标人可不提供本声明函。</w:t>
      </w:r>
    </w:p>
    <w:p w14:paraId="3953F9F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3、纸质投标文件正本中的本声明函（若有）应为原件。</w:t>
      </w:r>
    </w:p>
    <w:p w14:paraId="39660D5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4、请投标人根据实际情况如实声明，否则</w:t>
      </w:r>
      <w:r>
        <w:rPr>
          <w:rStyle w:val="8"/>
          <w:rFonts w:hint="eastAsia" w:ascii="宋体" w:hAnsi="宋体" w:eastAsia="宋体" w:cs="宋体"/>
          <w:b/>
          <w:sz w:val="21"/>
          <w:szCs w:val="21"/>
        </w:rPr>
        <w:t>视为提供虚假材料。</w:t>
      </w:r>
    </w:p>
    <w:p w14:paraId="2AEB5522">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597ED9AF">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959B56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50C7AB2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204AED7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3C7DE82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A0CE22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D87E66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74699AB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2E5AB4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825C0F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0F09BE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16AE2E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2396B0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9B05B7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9ECFA2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A39EE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F38401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-7参加采购活动前三年内在经营活动中没有重大违法记录书面声明</w:t>
      </w:r>
    </w:p>
    <w:p w14:paraId="3577232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240757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28C00B2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参加采购活动前三年内，我方在经营活动中没有重大违法记录，也无行贿犯罪记录，否则产生不利后果由我方承担责任。</w:t>
      </w:r>
    </w:p>
    <w:p w14:paraId="20263A1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特此声明。</w:t>
      </w:r>
    </w:p>
    <w:p w14:paraId="132DFF93">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15A2D60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1644E40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1、“重大违法记录”指投标人因违法经营受到刑事处罚或责令停产停业、吊销许可证或执照、较大数额罚款等行政处罚。</w:t>
      </w:r>
    </w:p>
    <w:p w14:paraId="2E84D5F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2、纸质投标文件正本中的本声明应为原件。</w:t>
      </w:r>
    </w:p>
    <w:p w14:paraId="0CECE33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3、请投标人根据实际情况如实声明，否则</w:t>
      </w:r>
      <w:r>
        <w:rPr>
          <w:rStyle w:val="8"/>
          <w:rFonts w:hint="eastAsia" w:ascii="宋体" w:hAnsi="宋体" w:eastAsia="宋体" w:cs="宋体"/>
          <w:b/>
          <w:sz w:val="21"/>
          <w:szCs w:val="21"/>
        </w:rPr>
        <w:t>视为提供虚假材料。</w:t>
      </w:r>
    </w:p>
    <w:p w14:paraId="47504EF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EBD18A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CE8C76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9D893F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6D05E86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4B1B038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6E68CD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010528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399AA0A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3A1E8E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AE6ECA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AF4FC5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6FCAB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A7CDC7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847F35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218A2E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E906F7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355BDC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7FB0C0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-8信用记录查询结果</w:t>
      </w:r>
    </w:p>
    <w:p w14:paraId="3DAAAE1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0E7DDE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0B6D2DE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现附上截至</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r>
        <w:rPr>
          <w:rFonts w:hint="eastAsia" w:ascii="宋体" w:hAnsi="宋体" w:eastAsia="宋体" w:cs="宋体"/>
          <w:sz w:val="21"/>
          <w:szCs w:val="21"/>
          <w:u w:val="single"/>
        </w:rPr>
        <w:t>   </w:t>
      </w:r>
      <w:r>
        <w:rPr>
          <w:rFonts w:hint="eastAsia" w:ascii="宋体" w:hAnsi="宋体" w:eastAsia="宋体" w:cs="宋体"/>
          <w:sz w:val="21"/>
          <w:szCs w:val="21"/>
        </w:rPr>
        <w:t>时我方通过“信用中国”网站（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份、通过中国政府采购网（www.ccgp.gov.cn）获取的我方信用信息查询结果</w:t>
      </w:r>
      <w:r>
        <w:rPr>
          <w:rFonts w:hint="eastAsia" w:ascii="宋体" w:hAnsi="宋体" w:eastAsia="宋体" w:cs="宋体"/>
          <w:sz w:val="21"/>
          <w:szCs w:val="21"/>
          <w:u w:val="single"/>
        </w:rPr>
        <w:t>（填写具体份数）</w:t>
      </w:r>
      <w:r>
        <w:rPr>
          <w:rFonts w:hint="eastAsia" w:ascii="宋体" w:hAnsi="宋体" w:eastAsia="宋体" w:cs="宋体"/>
          <w:sz w:val="21"/>
          <w:szCs w:val="21"/>
        </w:rPr>
        <w:t>份，上述信用信息查询结果真实有效，否则我方负全部责任。</w:t>
      </w:r>
    </w:p>
    <w:p w14:paraId="6C7C8CDA">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BD197E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4596C09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投标人应在招标文件要求的截止时点前分别通过“信用中国”网站（</w:t>
      </w:r>
      <w:r>
        <w:rPr>
          <w:rFonts w:hint="default" w:ascii="Calibri" w:hAnsi="Calibri" w:eastAsia="宋体" w:cs="Calibri"/>
          <w:sz w:val="21"/>
          <w:szCs w:val="21"/>
        </w:rPr>
        <w:t>www.creditchina.gov.cn</w:t>
      </w:r>
      <w:r>
        <w:rPr>
          <w:rFonts w:hint="eastAsia" w:ascii="宋体" w:hAnsi="宋体" w:eastAsia="宋体" w:cs="宋体"/>
          <w:sz w:val="21"/>
          <w:szCs w:val="21"/>
        </w:rPr>
        <w:t>）、中国政府采购网（</w:t>
      </w:r>
      <w:r>
        <w:rPr>
          <w:rFonts w:hint="default" w:ascii="Calibri" w:hAnsi="Calibri" w:eastAsia="宋体" w:cs="Calibri"/>
          <w:sz w:val="21"/>
          <w:szCs w:val="21"/>
        </w:rPr>
        <w:t>www.ccgp.gov.cn</w:t>
      </w:r>
      <w:r>
        <w:rPr>
          <w:rFonts w:hint="eastAsia" w:ascii="宋体" w:hAnsi="宋体" w:eastAsia="宋体" w:cs="宋体"/>
          <w:sz w:val="21"/>
          <w:szCs w:val="21"/>
        </w:rPr>
        <w:t>）查询并打印相应的信用记录，投标人提供的查询结果应为其通过上述网站获取的信用信息查询结果原始页面的打印件（或截图）。</w:t>
      </w:r>
    </w:p>
    <w:p w14:paraId="2E73175D">
      <w:pPr>
        <w:pStyle w:val="5"/>
        <w:keepNext w:val="0"/>
        <w:keepLines w:val="0"/>
        <w:widowControl/>
        <w:suppressLineNumbers w:val="0"/>
        <w:spacing w:before="0" w:beforeAutospacing="0" w:after="150" w:afterAutospacing="0"/>
        <w:ind w:left="0" w:right="0"/>
      </w:pPr>
    </w:p>
    <w:p w14:paraId="7CB468D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9CA77F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ACA818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6D323E1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4124351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3A6628C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682FC0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5CC7178">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r>
        <w:rPr>
          <w:rStyle w:val="8"/>
          <w:rFonts w:hint="default" w:ascii="Calibri" w:hAnsi="Calibri" w:cs="Calibri"/>
          <w:b/>
          <w:sz w:val="21"/>
          <w:szCs w:val="21"/>
        </w:rPr>
        <w:br w:type="textWrapping"/>
      </w:r>
    </w:p>
    <w:p w14:paraId="199AD655">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51E80432">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0C7795DB">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5E05DB7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857A62C">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10270FC6">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016E649">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C9C9C9F">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6B3A7F5">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1475A1BA">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E27C223">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二-9检察机关行贿犯罪档案查询结果告知函</w:t>
      </w:r>
    </w:p>
    <w:p w14:paraId="1D76A717">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2923DCE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检察机关行贿犯罪档案查询结果告知函（以下简称：“告知函”）由投标人向住所地或业务发生地检察院申请查询，具体以检察院出具的为准。</w:t>
      </w:r>
    </w:p>
    <w:p w14:paraId="3006F4CF">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B5B946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731C9FA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1、未提供行贿犯罪档案查询结果或查询结果表明投标人有行贿犯罪记录的，</w:t>
      </w:r>
      <w:r>
        <w:rPr>
          <w:rStyle w:val="8"/>
          <w:rFonts w:hint="eastAsia" w:ascii="宋体" w:hAnsi="宋体" w:eastAsia="宋体" w:cs="宋体"/>
          <w:b/>
          <w:sz w:val="21"/>
          <w:szCs w:val="21"/>
        </w:rPr>
        <w:t>投标无效。</w:t>
      </w:r>
    </w:p>
    <w:p w14:paraId="10E2FA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2、若从检察机关指定网站下载打印或截图告知函，则告知函应为从前述指定网站获取的查询结果原始页面的打印件（或截图），否则</w:t>
      </w:r>
      <w:r>
        <w:rPr>
          <w:rStyle w:val="8"/>
          <w:rFonts w:hint="eastAsia" w:ascii="宋体" w:hAnsi="宋体" w:eastAsia="宋体" w:cs="宋体"/>
          <w:b/>
          <w:sz w:val="21"/>
          <w:szCs w:val="21"/>
        </w:rPr>
        <w:t>投标无效。</w:t>
      </w:r>
    </w:p>
    <w:p w14:paraId="6C514B0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3、告知函应在有效期内且内容完整、清晰、整洁，否则</w:t>
      </w:r>
      <w:r>
        <w:rPr>
          <w:rStyle w:val="8"/>
          <w:rFonts w:hint="eastAsia" w:ascii="宋体" w:hAnsi="宋体" w:eastAsia="宋体" w:cs="宋体"/>
          <w:b/>
          <w:sz w:val="21"/>
          <w:szCs w:val="21"/>
        </w:rPr>
        <w:t>投标无效。</w:t>
      </w:r>
    </w:p>
    <w:p w14:paraId="3E80FD5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4、有效期内的告知函复印件（含扫描件）及符合招标文件第七章规定的打印件（或截图），无论内容中是否注明“复印件无效”，</w:t>
      </w:r>
      <w:r>
        <w:rPr>
          <w:rStyle w:val="8"/>
          <w:rFonts w:hint="eastAsia" w:ascii="宋体" w:hAnsi="宋体" w:eastAsia="宋体" w:cs="宋体"/>
          <w:b/>
          <w:sz w:val="21"/>
          <w:szCs w:val="21"/>
        </w:rPr>
        <w:t>均视同有效。</w:t>
      </w:r>
    </w:p>
    <w:p w14:paraId="31577C4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5、无法获取有效期内检察机关行贿犯罪档案查询结果告知函的，应在《参加采购活动前三年内在经营活动中没有重大违法记录书面声明》中对近三年无行贿犯罪记录进行声明。</w:t>
      </w:r>
    </w:p>
    <w:p w14:paraId="6C09004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br w:type="textWrapping"/>
      </w:r>
    </w:p>
    <w:p w14:paraId="4BDF5F2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D4FB133">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29E4B7B0">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B46F712">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2A1A0C9A">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97EB5BC">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81B3187">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69DBDD8">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CC0377D">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45AB1CE">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E4EE6B4">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9627E5B">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FFA0737">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2080A1A">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522C843">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1A52F8B3">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3FBD963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二-10联合体协议（若有）</w:t>
      </w:r>
    </w:p>
    <w:p w14:paraId="4CED2CA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8237A6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766515D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兹有</w:t>
      </w:r>
      <w:r>
        <w:rPr>
          <w:rFonts w:hint="eastAsia" w:ascii="宋体" w:hAnsi="宋体" w:eastAsia="宋体" w:cs="宋体"/>
          <w:sz w:val="21"/>
          <w:szCs w:val="21"/>
          <w:u w:val="single"/>
        </w:rPr>
        <w:t>（填写“联合体中各方的全称”，各方的全称之间请用“、”分割）</w:t>
      </w:r>
      <w:r>
        <w:rPr>
          <w:rFonts w:hint="eastAsia" w:ascii="宋体" w:hAnsi="宋体" w:eastAsia="宋体" w:cs="宋体"/>
          <w:sz w:val="21"/>
          <w:szCs w:val="21"/>
        </w:rPr>
        <w:t>自愿组成联合体，共同参加</w:t>
      </w:r>
      <w:r>
        <w:rPr>
          <w:rFonts w:hint="eastAsia" w:ascii="宋体" w:hAnsi="宋体" w:eastAsia="宋体" w:cs="宋体"/>
          <w:sz w:val="21"/>
          <w:szCs w:val="21"/>
          <w:u w:val="single"/>
        </w:rPr>
        <w:t>（填写“项目名称”） </w:t>
      </w:r>
      <w:r>
        <w:rPr>
          <w:rFonts w:hint="eastAsia" w:ascii="宋体" w:hAnsi="宋体" w:eastAsia="宋体" w:cs="宋体"/>
          <w:sz w:val="21"/>
          <w:szCs w:val="21"/>
        </w:rPr>
        <w:t>项目（招标编号：</w:t>
      </w:r>
      <w:r>
        <w:rPr>
          <w:rFonts w:hint="eastAsia" w:ascii="宋体" w:hAnsi="宋体" w:eastAsia="宋体" w:cs="宋体"/>
          <w:sz w:val="21"/>
          <w:szCs w:val="21"/>
          <w:u w:val="single"/>
        </w:rPr>
        <w:t>         </w:t>
      </w:r>
      <w:r>
        <w:rPr>
          <w:rFonts w:hint="eastAsia" w:ascii="宋体" w:hAnsi="宋体" w:eastAsia="宋体" w:cs="宋体"/>
          <w:sz w:val="21"/>
          <w:szCs w:val="21"/>
        </w:rPr>
        <w:t>）的投标。现就联合体参加本项目投标的有关事宜达成下列协议：</w:t>
      </w:r>
    </w:p>
    <w:p w14:paraId="35AC035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一、联合体各方应承担的工作和义务具体如下：</w:t>
      </w:r>
    </w:p>
    <w:p w14:paraId="1DBF289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1、牵头方（</w:t>
      </w:r>
      <w:r>
        <w:rPr>
          <w:rFonts w:hint="eastAsia" w:ascii="宋体" w:hAnsi="宋体" w:eastAsia="宋体" w:cs="宋体"/>
          <w:sz w:val="21"/>
          <w:szCs w:val="21"/>
          <w:u w:val="single"/>
        </w:rPr>
        <w:t>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14:paraId="1948538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2、成员方：</w:t>
      </w:r>
    </w:p>
    <w:p w14:paraId="7628268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2.1</w:t>
      </w:r>
      <w:r>
        <w:rPr>
          <w:rFonts w:hint="eastAsia" w:ascii="宋体" w:hAnsi="宋体" w:eastAsia="宋体" w:cs="宋体"/>
          <w:sz w:val="21"/>
          <w:szCs w:val="21"/>
          <w:u w:val="single"/>
        </w:rPr>
        <w:t>（成员一的全称）</w:t>
      </w:r>
      <w:r>
        <w:rPr>
          <w:rFonts w:hint="eastAsia" w:ascii="宋体" w:hAnsi="宋体" w:eastAsia="宋体" w:cs="宋体"/>
          <w:sz w:val="21"/>
          <w:szCs w:val="21"/>
        </w:rPr>
        <w:t>：</w:t>
      </w:r>
      <w:r>
        <w:rPr>
          <w:rFonts w:hint="eastAsia" w:ascii="宋体" w:hAnsi="宋体" w:eastAsia="宋体" w:cs="宋体"/>
          <w:sz w:val="21"/>
          <w:szCs w:val="21"/>
          <w:u w:val="single"/>
        </w:rPr>
        <w:t> （填写“工作及义务的具体内容”） </w:t>
      </w:r>
      <w:r>
        <w:rPr>
          <w:rFonts w:hint="eastAsia" w:ascii="宋体" w:hAnsi="宋体" w:eastAsia="宋体" w:cs="宋体"/>
          <w:sz w:val="21"/>
          <w:szCs w:val="21"/>
        </w:rPr>
        <w:t>；</w:t>
      </w:r>
    </w:p>
    <w:p w14:paraId="57E33039">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w:t>
      </w:r>
      <w:r>
        <w:rPr>
          <w:rFonts w:hint="eastAsia" w:ascii="宋体" w:hAnsi="宋体" w:eastAsia="宋体" w:cs="宋体"/>
          <w:sz w:val="21"/>
          <w:szCs w:val="21"/>
        </w:rPr>
        <w:t>。</w:t>
      </w:r>
    </w:p>
    <w:p w14:paraId="30B3D8E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二、联合体各方约定：</w:t>
      </w:r>
    </w:p>
    <w:p w14:paraId="1B8F8F8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参加本项目投标的有关事宜（包括但不限于：报名、派出投标人代表、提交投标文件及参加开标、谈判、澄清等），在此过程中，投标人代表签字的一切文件和处理结果，联合体均予以认可并对此承担责任。</w:t>
      </w:r>
    </w:p>
    <w:p w14:paraId="499C2B7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2、联合体各方约定由</w:t>
      </w:r>
      <w:r>
        <w:rPr>
          <w:rFonts w:hint="eastAsia" w:ascii="宋体" w:hAnsi="宋体" w:eastAsia="宋体" w:cs="宋体"/>
          <w:sz w:val="21"/>
          <w:szCs w:val="21"/>
          <w:u w:val="single"/>
        </w:rPr>
        <w:t>（填写“牵头方的全称”）</w:t>
      </w:r>
      <w:r>
        <w:rPr>
          <w:rFonts w:hint="eastAsia" w:ascii="宋体" w:hAnsi="宋体" w:eastAsia="宋体" w:cs="宋体"/>
          <w:sz w:val="21"/>
          <w:szCs w:val="21"/>
        </w:rPr>
        <w:t>代表联合体办理投标保证金事宜。</w:t>
      </w:r>
    </w:p>
    <w:p w14:paraId="6CAA926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3、</w:t>
      </w:r>
      <w:r>
        <w:rPr>
          <w:rFonts w:hint="eastAsia" w:ascii="宋体" w:hAnsi="宋体" w:eastAsia="宋体" w:cs="宋体"/>
          <w:i w:val="0"/>
          <w:color w:val="000000"/>
          <w:spacing w:val="0"/>
          <w:sz w:val="21"/>
          <w:szCs w:val="21"/>
        </w:rPr>
        <w:t>根据福建省财政厅文件（闽财购[2008]10号）的规定，若本项目采用综合评分法，则联合体只能确定由其中一方的条件参与商务部分的评标。因此，联合体各方约定以</w:t>
      </w:r>
      <w:r>
        <w:rPr>
          <w:rFonts w:hint="eastAsia" w:ascii="宋体" w:hAnsi="宋体" w:eastAsia="宋体" w:cs="宋体"/>
          <w:i w:val="0"/>
          <w:color w:val="000000"/>
          <w:spacing w:val="0"/>
          <w:sz w:val="21"/>
          <w:szCs w:val="21"/>
          <w:u w:val="single"/>
        </w:rPr>
        <w:t>（应填写“其中一方的全称”，如：联合体确定以成员一的条件参与商务部分的评标，则填写“成员一的全称”…；否则填写“无”）</w:t>
      </w:r>
      <w:r>
        <w:rPr>
          <w:rFonts w:hint="eastAsia" w:ascii="宋体" w:hAnsi="宋体" w:eastAsia="宋体" w:cs="宋体"/>
          <w:i w:val="0"/>
          <w:color w:val="000000"/>
          <w:spacing w:val="0"/>
          <w:sz w:val="21"/>
          <w:szCs w:val="21"/>
        </w:rPr>
        <w:t>的条件参与商务部分的评标。</w:t>
      </w:r>
    </w:p>
    <w:p w14:paraId="170371A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三、若中标，牵头方将代表联合体与采购人就合同签订事宜进行协商；若协商一致，则联合体各方将共同与采购人签订政府采购合同，并就政府采购合同约定的事项对采购人承担连带责任。</w:t>
      </w:r>
    </w:p>
    <w:p w14:paraId="131DCDF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四、本协议自签署之日起生效，政府采购合同履行完毕后自动失效。</w:t>
      </w:r>
    </w:p>
    <w:p w14:paraId="62B9B6D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五、本协议一式</w:t>
      </w:r>
      <w:r>
        <w:rPr>
          <w:rFonts w:hint="eastAsia" w:ascii="宋体" w:hAnsi="宋体" w:eastAsia="宋体" w:cs="宋体"/>
          <w:sz w:val="21"/>
          <w:szCs w:val="21"/>
          <w:u w:val="single"/>
        </w:rPr>
        <w:t>（填写具体份数）</w:t>
      </w:r>
      <w:r>
        <w:rPr>
          <w:rFonts w:hint="eastAsia" w:ascii="宋体" w:hAnsi="宋体" w:eastAsia="宋体" w:cs="宋体"/>
          <w:sz w:val="21"/>
          <w:szCs w:val="21"/>
        </w:rPr>
        <w:t>份，联合体各方各执一份，投标文件中提交一份。</w:t>
      </w:r>
    </w:p>
    <w:p w14:paraId="0BDEF12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（以下无正文）</w:t>
      </w:r>
    </w:p>
    <w:p w14:paraId="3359B9F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164C6B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牵头方：</w:t>
      </w:r>
      <w:r>
        <w:rPr>
          <w:rFonts w:hint="eastAsia" w:ascii="宋体" w:hAnsi="宋体" w:eastAsia="宋体" w:cs="宋体"/>
          <w:sz w:val="21"/>
          <w:szCs w:val="21"/>
          <w:u w:val="single"/>
        </w:rPr>
        <w:t>（全称并加盖单位公章）</w:t>
      </w:r>
    </w:p>
    <w:p w14:paraId="760C9F4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14:paraId="3ADC4F9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93A7CB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成员一：</w:t>
      </w:r>
      <w:r>
        <w:rPr>
          <w:rFonts w:hint="eastAsia" w:ascii="宋体" w:hAnsi="宋体" w:eastAsia="宋体" w:cs="宋体"/>
          <w:sz w:val="21"/>
          <w:szCs w:val="21"/>
          <w:u w:val="single"/>
        </w:rPr>
        <w:t>（全称并加盖成员一的单位公章）</w:t>
      </w:r>
    </w:p>
    <w:p w14:paraId="31B2861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14:paraId="2611D0C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w:t>
      </w:r>
    </w:p>
    <w:p w14:paraId="206968B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0F0BDD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成员**：</w:t>
      </w:r>
      <w:r>
        <w:rPr>
          <w:rFonts w:hint="eastAsia" w:ascii="宋体" w:hAnsi="宋体" w:eastAsia="宋体" w:cs="宋体"/>
          <w:sz w:val="21"/>
          <w:szCs w:val="21"/>
          <w:u w:val="single"/>
        </w:rPr>
        <w:t>（全称并加盖成员**的单位公章）</w:t>
      </w:r>
    </w:p>
    <w:p w14:paraId="4C8171E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法定代表人或其委托代理人：</w:t>
      </w:r>
      <w:r>
        <w:rPr>
          <w:rFonts w:hint="eastAsia" w:ascii="宋体" w:hAnsi="宋体" w:eastAsia="宋体" w:cs="宋体"/>
          <w:sz w:val="21"/>
          <w:szCs w:val="21"/>
          <w:u w:val="single"/>
        </w:rPr>
        <w:t>  （签字或盖章）  </w:t>
      </w:r>
    </w:p>
    <w:p w14:paraId="2C9CCA8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5776BA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2591E83">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签署日期：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587216B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3D6FB7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CC68C8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1、招标文件接受联合体投标且投标人为联合体的，投标人应提供本协议；否则无须提供。</w:t>
      </w:r>
    </w:p>
    <w:p w14:paraId="44E0CD9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2、本协议由委托代理人签字或盖章的，应按照本章载明的格式提供“单位负责人授权书”。</w:t>
      </w:r>
    </w:p>
    <w:p w14:paraId="1512A7A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3、纸质投标文件正本中的本协议（若有）应为原件。</w:t>
      </w:r>
    </w:p>
    <w:p w14:paraId="245FD11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0FF419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ECC11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5349DC3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1EC009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4C2B59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2832CF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CB8970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6669C5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6906CE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5DBFD7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98EA06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D73651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41BD78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744FB8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B32BFA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690EE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5B86EC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741991F">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二-11中小企业声明函</w:t>
      </w:r>
    </w:p>
    <w:p w14:paraId="08EBC616">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（专门面向中小企业或小型、微型企业适用，若有）</w:t>
      </w:r>
    </w:p>
    <w:p w14:paraId="4B80EBC9">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2C39678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14:paraId="2172BB4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14:paraId="3C828A8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14:paraId="08C094FB">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14:paraId="739F310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14:paraId="149E80E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14:paraId="683CD64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14:paraId="2BF86A8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14:paraId="4FB2891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14:paraId="17735A2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14:paraId="1147E10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14:paraId="26091C22">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14:paraId="53FCFB1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38602F2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14:paraId="5EB08D9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14:paraId="2DE6FA9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3、投标人为监狱企业的，可不填写本声明函，根据其提供的由省级以上监狱管理局、戒毒管理局（含新疆生产建设兵团）出具的属于监狱企业的证明文件进行认定，监狱企业视同小型、微型企业。</w:t>
      </w:r>
    </w:p>
    <w:p w14:paraId="7C72AA5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4、投标人为残疾人福利性单位的，可不填写本声明函，根据其提供的《残疾人福利性单位声明函》（格式附后）进行认定，残疾人福利性单位视同小型、微型企业。</w:t>
      </w:r>
    </w:p>
    <w:p w14:paraId="01E746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5、纸质投标文件正本中的本声明函（若有）应为原件。</w:t>
      </w:r>
    </w:p>
    <w:p w14:paraId="085AECB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6、若《中小企业声明函》（包括本格式第</w:t>
      </w:r>
      <w:r>
        <w:rPr>
          <w:rFonts w:hint="default" w:ascii="Calibri" w:hAnsi="Calibri" w:eastAsia="宋体" w:cs="Calibri"/>
          <w:sz w:val="21"/>
          <w:szCs w:val="21"/>
        </w:rPr>
        <w:t>3</w:t>
      </w:r>
      <w:r>
        <w:rPr>
          <w:rFonts w:hint="eastAsia" w:ascii="宋体" w:hAnsi="宋体" w:eastAsia="宋体" w:cs="宋体"/>
          <w:sz w:val="21"/>
          <w:szCs w:val="21"/>
        </w:rPr>
        <w:t>、</w:t>
      </w:r>
      <w:r>
        <w:rPr>
          <w:rFonts w:hint="default" w:ascii="Calibri" w:hAnsi="Calibri" w:eastAsia="宋体" w:cs="Calibri"/>
          <w:sz w:val="21"/>
          <w:szCs w:val="21"/>
        </w:rPr>
        <w:t>4</w:t>
      </w:r>
      <w:r>
        <w:rPr>
          <w:rFonts w:hint="eastAsia" w:ascii="宋体" w:hAnsi="宋体" w:eastAsia="宋体" w:cs="宋体"/>
          <w:sz w:val="21"/>
          <w:szCs w:val="21"/>
        </w:rPr>
        <w:t>条规定的证明文件及声明函）内容不真实，</w:t>
      </w:r>
      <w:r>
        <w:rPr>
          <w:rStyle w:val="8"/>
          <w:rFonts w:hint="eastAsia" w:ascii="宋体" w:hAnsi="宋体" w:eastAsia="宋体" w:cs="宋体"/>
          <w:b/>
          <w:sz w:val="21"/>
          <w:szCs w:val="21"/>
        </w:rPr>
        <w:t>视为提供虚假材料。</w:t>
      </w:r>
    </w:p>
    <w:p w14:paraId="4C303AA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332C2DF">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2954610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8E0D03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347823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664CB69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338CD8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235CEB6">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14:paraId="0CF35B6F">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残疾人福利性单位声明函</w:t>
      </w:r>
    </w:p>
    <w:p w14:paraId="3A077379">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（专门面向中小企业或小型、微型企业适用，若有）</w:t>
      </w:r>
    </w:p>
    <w:p w14:paraId="2F3CAD69">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5F9EDC8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14:paraId="7FB41D3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14:paraId="56C7C85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14:paraId="7F687E63">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14:paraId="3BC64CB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14:paraId="00C6564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14:paraId="49B56E97">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14:paraId="14DCE96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20FC445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14:paraId="4ED9674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14:paraId="4212C6C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8"/>
          <w:rFonts w:hint="eastAsia" w:ascii="宋体" w:hAnsi="宋体" w:eastAsia="宋体" w:cs="宋体"/>
          <w:b/>
          <w:sz w:val="21"/>
          <w:szCs w:val="21"/>
        </w:rPr>
        <w:t>视为提供虚假材料。</w:t>
      </w:r>
    </w:p>
    <w:p w14:paraId="3DBF4C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D36007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271D996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03AF1A3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5C3491C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58A1A04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F9EABF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16608E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br w:type="textWrapping"/>
      </w:r>
      <w:r>
        <w:rPr>
          <w:rStyle w:val="8"/>
          <w:rFonts w:hint="eastAsia" w:ascii="宋体" w:hAnsi="宋体" w:eastAsia="宋体" w:cs="宋体"/>
          <w:b/>
          <w:sz w:val="21"/>
          <w:szCs w:val="21"/>
        </w:rPr>
        <w:t>二-12其他资格证明文件（若有）</w:t>
      </w:r>
    </w:p>
    <w:p w14:paraId="1E6F894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5E3FAF1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二</w:t>
      </w:r>
      <w:r>
        <w:rPr>
          <w:rStyle w:val="8"/>
          <w:rFonts w:hint="eastAsia" w:ascii="宋体" w:hAnsi="宋体" w:eastAsia="宋体" w:cs="宋体"/>
          <w:b/>
          <w:sz w:val="21"/>
          <w:szCs w:val="21"/>
        </w:rPr>
        <w:t>-12-①具备履行合同所必需设备和专业技术能力专项证明材料（若有）</w:t>
      </w:r>
    </w:p>
    <w:p w14:paraId="128C8F3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0F04EA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致：</w:t>
      </w:r>
      <w:r>
        <w:rPr>
          <w:rFonts w:hint="eastAsia" w:ascii="宋体" w:hAnsi="宋体" w:eastAsia="宋体" w:cs="宋体"/>
          <w:sz w:val="21"/>
          <w:szCs w:val="21"/>
          <w:u w:val="single"/>
        </w:rPr>
        <w:t>                     </w:t>
      </w:r>
    </w:p>
    <w:p w14:paraId="4E0B6377">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现附上我方具备履行合同所必需的设备和专业技术能力的专项证明材料复印件（具体附后），上述证明材料真实有效，否则我方负全部责任。</w:t>
      </w:r>
    </w:p>
    <w:p w14:paraId="625BBF6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11A89E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2D479F2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1、招标文件要求投标人提供“具备履行合同所必需的设备和专业技术能力专项证明材料”的，投标人应按照招标文件规定在此项下提供相应证明材料复印件。</w:t>
      </w:r>
    </w:p>
    <w:p w14:paraId="329F35F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2、投标人提供的相应证明材料复印件均应符合：内容完整、清晰、整洁，并由投标人加盖其单位公章。</w:t>
      </w:r>
    </w:p>
    <w:p w14:paraId="6C148CC9">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3549E8F4">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40FD33E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04FA7D0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7F40B6C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4B54E9C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7095C2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1688A4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647D417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DDBD5A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318610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AC6459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CEF8AF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C3AB33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2DE90B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B63993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B54A7D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二-12-②招标文件规定的其他资格证明文件（若有）</w:t>
      </w:r>
    </w:p>
    <w:p w14:paraId="1C47E2A0">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6A636241">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4E406153">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414FB86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4476B7F5">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除招标文件另有规定外，招标文件要求提交的除前述资格证明文件外的其他资格证明文件（若有）加盖投标人的单位公章后应在此项下提交。</w:t>
      </w:r>
    </w:p>
    <w:p w14:paraId="338954AC">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6627EC45">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50487367">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三</w:t>
      </w:r>
      <w:r>
        <w:rPr>
          <w:rStyle w:val="8"/>
          <w:rFonts w:hint="eastAsia" w:ascii="宋体" w:hAnsi="宋体" w:eastAsia="宋体" w:cs="宋体"/>
          <w:b/>
          <w:sz w:val="21"/>
          <w:szCs w:val="21"/>
        </w:rPr>
        <w:t>、投标保证金</w:t>
      </w:r>
    </w:p>
    <w:p w14:paraId="5916BB7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C33ABE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6BF51A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006268A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EA3631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1、在此项下提交的</w:t>
      </w:r>
      <w:r>
        <w:rPr>
          <w:rStyle w:val="8"/>
          <w:rFonts w:hint="eastAsia" w:ascii="宋体" w:hAnsi="宋体" w:eastAsia="宋体" w:cs="宋体"/>
          <w:b/>
          <w:sz w:val="21"/>
          <w:szCs w:val="21"/>
        </w:rPr>
        <w:t>“投标保证金”</w:t>
      </w:r>
      <w:r>
        <w:rPr>
          <w:rFonts w:hint="eastAsia" w:ascii="宋体" w:hAnsi="宋体" w:eastAsia="宋体" w:cs="宋体"/>
          <w:sz w:val="21"/>
          <w:szCs w:val="21"/>
        </w:rPr>
        <w:t>材料可使用转账凭证复印件或从福建省政府采购网上公开信息系统中下载的有关原始页面的打印件。</w:t>
      </w:r>
    </w:p>
    <w:p w14:paraId="027B740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2、投标保证金是否已提交的认定按照招标文件第三章规定执行。</w:t>
      </w:r>
    </w:p>
    <w:p w14:paraId="47E0FD8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8B8D66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6C1561F">
      <w:pPr>
        <w:pStyle w:val="5"/>
        <w:keepNext w:val="0"/>
        <w:keepLines w:val="0"/>
        <w:widowControl/>
        <w:suppressLineNumbers w:val="0"/>
        <w:spacing w:before="0" w:beforeAutospacing="0" w:after="150" w:afterAutospacing="0"/>
        <w:ind w:left="0" w:right="0"/>
      </w:pPr>
    </w:p>
    <w:p w14:paraId="779DD6D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B863FD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FE13923">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1E30BB03">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2B28FD30">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708AC76">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3C3DF20D">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44AC66D2">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14:paraId="37216030">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2505D656">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351ECA21">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6568A426">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14:paraId="4669ED5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（报价部分）</w:t>
      </w:r>
    </w:p>
    <w:p w14:paraId="3986E53D">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4186C75C">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14:paraId="243FFCE2">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113A2FAB">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14:paraId="053D1504">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14:paraId="0C66C6F6">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14:paraId="5C73D3A2">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14:paraId="5DB6BC02">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127EC7FD">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35829D2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14:paraId="4114BA4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14:paraId="5419873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A47B8A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C84D8D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索引</w:t>
      </w:r>
    </w:p>
    <w:p w14:paraId="4B698AC4">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一、开标一览表</w:t>
      </w:r>
    </w:p>
    <w:p w14:paraId="65E5DA25">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二、投标分项报价表</w:t>
      </w:r>
    </w:p>
    <w:p w14:paraId="1AA46588">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三、招标文件规定的价格扣除证明材料（若有）</w:t>
      </w:r>
    </w:p>
    <w:p w14:paraId="01E68C97">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四、招标文件规定的加分证明材料（若有）</w:t>
      </w:r>
    </w:p>
    <w:p w14:paraId="78C05AC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502CAB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36F9F3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79DD812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DC9534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C8113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401985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271056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150861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ED3B6E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F48E63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A79D9D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87D7B8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0CBE43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6F8F9A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44707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BD253F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2EF586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E78B45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1E60E6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E78EF3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2DBEC3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一、开标一览表</w:t>
      </w:r>
      <w:r>
        <w:rPr>
          <w:rFonts w:hint="eastAsia" w:ascii="宋体" w:hAnsi="宋体" w:eastAsia="宋体" w:cs="宋体"/>
          <w:sz w:val="21"/>
          <w:szCs w:val="21"/>
        </w:rPr>
        <w:t> </w:t>
      </w:r>
    </w:p>
    <w:p w14:paraId="2ABAFB1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14:paraId="127DEA2E">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20"/>
        <w:gridCol w:w="5670"/>
        <w:gridCol w:w="783"/>
        <w:gridCol w:w="847"/>
      </w:tblGrid>
      <w:tr w14:paraId="3EF3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20" w:type="dxa"/>
            <w:tcBorders>
              <w:tl2br w:val="nil"/>
              <w:tr2bl w:val="nil"/>
            </w:tcBorders>
            <w:shd w:val="clear" w:color="auto" w:fill="auto"/>
            <w:tcMar>
              <w:top w:w="0" w:type="dxa"/>
              <w:left w:w="105" w:type="dxa"/>
              <w:bottom w:w="0" w:type="dxa"/>
              <w:right w:w="105" w:type="dxa"/>
            </w:tcMar>
            <w:vAlign w:val="center"/>
          </w:tcPr>
          <w:p w14:paraId="62BFEAC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5670" w:type="dxa"/>
            <w:tcBorders>
              <w:tl2br w:val="nil"/>
              <w:tr2bl w:val="nil"/>
            </w:tcBorders>
            <w:shd w:val="clear" w:color="auto" w:fill="auto"/>
            <w:tcMar>
              <w:top w:w="0" w:type="dxa"/>
              <w:left w:w="105" w:type="dxa"/>
              <w:bottom w:w="0" w:type="dxa"/>
              <w:right w:w="105" w:type="dxa"/>
            </w:tcMar>
            <w:vAlign w:val="center"/>
          </w:tcPr>
          <w:p w14:paraId="11EDAC3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投标报价</w:t>
            </w:r>
          </w:p>
        </w:tc>
        <w:tc>
          <w:tcPr>
            <w:tcW w:w="783" w:type="dxa"/>
            <w:tcBorders>
              <w:tl2br w:val="nil"/>
              <w:tr2bl w:val="nil"/>
            </w:tcBorders>
            <w:shd w:val="clear" w:color="auto" w:fill="auto"/>
            <w:tcMar>
              <w:top w:w="0" w:type="dxa"/>
              <w:left w:w="105" w:type="dxa"/>
              <w:bottom w:w="0" w:type="dxa"/>
              <w:right w:w="105" w:type="dxa"/>
            </w:tcMar>
            <w:vAlign w:val="center"/>
          </w:tcPr>
          <w:p w14:paraId="33560F7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w:t>
            </w:r>
          </w:p>
          <w:p w14:paraId="5F46064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保证金</w:t>
            </w:r>
          </w:p>
        </w:tc>
        <w:tc>
          <w:tcPr>
            <w:tcW w:w="847" w:type="dxa"/>
            <w:tcBorders>
              <w:tl2br w:val="nil"/>
              <w:tr2bl w:val="nil"/>
            </w:tcBorders>
            <w:shd w:val="clear" w:color="auto" w:fill="auto"/>
            <w:tcMar>
              <w:top w:w="0" w:type="dxa"/>
              <w:left w:w="105" w:type="dxa"/>
              <w:bottom w:w="0" w:type="dxa"/>
              <w:right w:w="105" w:type="dxa"/>
            </w:tcMar>
            <w:vAlign w:val="center"/>
          </w:tcPr>
          <w:p w14:paraId="26E453E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14:paraId="341D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800" w:hRule="atLeast"/>
        </w:trPr>
        <w:tc>
          <w:tcPr>
            <w:tcW w:w="1220" w:type="dxa"/>
            <w:tcBorders>
              <w:tl2br w:val="nil"/>
              <w:tr2bl w:val="nil"/>
            </w:tcBorders>
            <w:shd w:val="clear" w:color="auto" w:fill="auto"/>
            <w:tcMar>
              <w:top w:w="0" w:type="dxa"/>
              <w:left w:w="105" w:type="dxa"/>
              <w:bottom w:w="0" w:type="dxa"/>
              <w:right w:w="105" w:type="dxa"/>
            </w:tcMar>
            <w:vAlign w:val="center"/>
          </w:tcPr>
          <w:p w14:paraId="0663511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5670" w:type="dxa"/>
            <w:tcBorders>
              <w:tl2br w:val="nil"/>
              <w:tr2bl w:val="nil"/>
            </w:tcBorders>
            <w:shd w:val="clear" w:color="auto" w:fill="auto"/>
            <w:tcMar>
              <w:top w:w="0" w:type="dxa"/>
              <w:left w:w="105" w:type="dxa"/>
              <w:bottom w:w="0" w:type="dxa"/>
              <w:right w:w="105" w:type="dxa"/>
            </w:tcMar>
            <w:vAlign w:val="center"/>
          </w:tcPr>
          <w:p w14:paraId="1D24718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783" w:type="dxa"/>
            <w:tcBorders>
              <w:tl2br w:val="nil"/>
              <w:tr2bl w:val="nil"/>
            </w:tcBorders>
            <w:shd w:val="clear" w:color="auto" w:fill="auto"/>
            <w:tcMar>
              <w:top w:w="0" w:type="dxa"/>
              <w:left w:w="105" w:type="dxa"/>
              <w:bottom w:w="0" w:type="dxa"/>
              <w:right w:w="105" w:type="dxa"/>
            </w:tcMar>
            <w:vAlign w:val="center"/>
          </w:tcPr>
          <w:p w14:paraId="028A65D6">
            <w:pPr>
              <w:keepNext w:val="0"/>
              <w:keepLines w:val="0"/>
              <w:widowControl/>
              <w:suppressLineNumbers w:val="0"/>
              <w:jc w:val="left"/>
            </w:pPr>
          </w:p>
        </w:tc>
        <w:tc>
          <w:tcPr>
            <w:tcW w:w="847" w:type="dxa"/>
            <w:vMerge w:val="restart"/>
            <w:tcBorders>
              <w:tl2br w:val="nil"/>
              <w:tr2bl w:val="nil"/>
            </w:tcBorders>
            <w:shd w:val="clear" w:color="auto" w:fill="auto"/>
            <w:tcMar>
              <w:top w:w="0" w:type="dxa"/>
              <w:left w:w="105" w:type="dxa"/>
              <w:bottom w:w="0" w:type="dxa"/>
              <w:right w:w="105" w:type="dxa"/>
            </w:tcMar>
            <w:vAlign w:val="center"/>
          </w:tcPr>
          <w:p w14:paraId="46C7EAD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a.投标报价的明细：详见《投标分项报价表》。</w:t>
            </w:r>
          </w:p>
          <w:p w14:paraId="104DD84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b.招标文件规定的价格扣除证明材料（若有）：详见报价部分。</w:t>
            </w:r>
          </w:p>
        </w:tc>
      </w:tr>
      <w:tr w14:paraId="436E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20" w:type="dxa"/>
            <w:tcBorders>
              <w:tl2br w:val="nil"/>
              <w:tr2bl w:val="nil"/>
            </w:tcBorders>
            <w:shd w:val="clear" w:color="auto" w:fill="auto"/>
            <w:tcMar>
              <w:top w:w="0" w:type="dxa"/>
              <w:left w:w="105" w:type="dxa"/>
              <w:bottom w:w="0" w:type="dxa"/>
              <w:right w:w="105" w:type="dxa"/>
            </w:tcMar>
            <w:vAlign w:val="center"/>
          </w:tcPr>
          <w:p w14:paraId="09829F98">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5670" w:type="dxa"/>
            <w:tcBorders>
              <w:tl2br w:val="nil"/>
              <w:tr2bl w:val="nil"/>
            </w:tcBorders>
            <w:shd w:val="clear" w:color="auto" w:fill="auto"/>
            <w:tcMar>
              <w:top w:w="0" w:type="dxa"/>
              <w:left w:w="105" w:type="dxa"/>
              <w:bottom w:w="0" w:type="dxa"/>
              <w:right w:w="105" w:type="dxa"/>
            </w:tcMar>
            <w:vAlign w:val="center"/>
          </w:tcPr>
          <w:p w14:paraId="33DB7B6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投标总价（大写金额）：</w:t>
            </w:r>
            <w:r>
              <w:rPr>
                <w:rFonts w:hint="eastAsia" w:ascii="宋体" w:hAnsi="宋体" w:eastAsia="宋体" w:cs="宋体"/>
                <w:sz w:val="21"/>
                <w:szCs w:val="21"/>
                <w:u w:val="single"/>
              </w:rPr>
              <w:t>                      </w:t>
            </w:r>
            <w:r>
              <w:rPr>
                <w:rFonts w:hint="eastAsia" w:ascii="宋体" w:hAnsi="宋体" w:eastAsia="宋体" w:cs="宋体"/>
                <w:sz w:val="21"/>
                <w:szCs w:val="21"/>
              </w:rPr>
              <w:t>。</w:t>
            </w:r>
          </w:p>
        </w:tc>
        <w:tc>
          <w:tcPr>
            <w:tcW w:w="783" w:type="dxa"/>
            <w:tcBorders>
              <w:tl2br w:val="nil"/>
              <w:tr2bl w:val="nil"/>
            </w:tcBorders>
            <w:shd w:val="clear" w:color="auto" w:fill="auto"/>
            <w:tcMar>
              <w:top w:w="0" w:type="dxa"/>
              <w:left w:w="105" w:type="dxa"/>
              <w:bottom w:w="0" w:type="dxa"/>
              <w:right w:w="105" w:type="dxa"/>
            </w:tcMar>
            <w:vAlign w:val="center"/>
          </w:tcPr>
          <w:p w14:paraId="6C50DE27">
            <w:pPr>
              <w:keepNext w:val="0"/>
              <w:keepLines w:val="0"/>
              <w:widowControl/>
              <w:suppressLineNumbers w:val="0"/>
              <w:jc w:val="left"/>
            </w:pPr>
          </w:p>
        </w:tc>
        <w:tc>
          <w:tcPr>
            <w:tcW w:w="847" w:type="dxa"/>
            <w:vMerge w:val="continue"/>
            <w:tcBorders>
              <w:tl2br w:val="nil"/>
              <w:tr2bl w:val="nil"/>
            </w:tcBorders>
            <w:shd w:val="clear" w:color="auto" w:fill="auto"/>
            <w:tcMar>
              <w:top w:w="0" w:type="dxa"/>
              <w:left w:w="105" w:type="dxa"/>
              <w:bottom w:w="0" w:type="dxa"/>
              <w:right w:w="105" w:type="dxa"/>
            </w:tcMar>
            <w:vAlign w:val="center"/>
          </w:tcPr>
          <w:p w14:paraId="7439461C">
            <w:pPr>
              <w:rPr>
                <w:rFonts w:hint="eastAsia" w:ascii="宋体"/>
                <w:sz w:val="24"/>
                <w:szCs w:val="24"/>
              </w:rPr>
            </w:pPr>
          </w:p>
        </w:tc>
      </w:tr>
    </w:tbl>
    <w:p w14:paraId="6E8B47E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6E28DA1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1502908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1.1投标人应按照本表格式填写所投的合同包的“投标报价”。</w:t>
      </w:r>
    </w:p>
    <w:p w14:paraId="7B4C4F2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1.2本表中列示的“合同包”应与《投标分项报价表》中列示的“合同包”保持一致，即：若本表中列示的“合同包”为“</w:t>
      </w:r>
      <w:r>
        <w:rPr>
          <w:rFonts w:hint="default" w:ascii="Calibri" w:hAnsi="Calibri" w:eastAsia="宋体" w:cs="Calibri"/>
          <w:sz w:val="21"/>
          <w:szCs w:val="21"/>
        </w:rPr>
        <w:t>1</w:t>
      </w:r>
      <w:r>
        <w:rPr>
          <w:rFonts w:hint="eastAsia" w:ascii="宋体" w:hAnsi="宋体" w:eastAsia="宋体" w:cs="宋体"/>
          <w:sz w:val="21"/>
          <w:szCs w:val="21"/>
        </w:rPr>
        <w:t>”时，《投标分项报价表》中列示的“合同包”亦应为“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14:paraId="47E730A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1.3“大写金额”指“投标报价”应用“壹、贰、叁、肆、伍、陆、柒、捌、玖、拾、佰、仟、万、亿、元、角、分、零”等进行填写。</w:t>
      </w:r>
    </w:p>
    <w:p w14:paraId="1519BF9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14:paraId="092929D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F3830B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B790E5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2A46954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020BD37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r>
        <w:rPr>
          <w:rStyle w:val="8"/>
          <w:rFonts w:hint="eastAsia" w:ascii="宋体" w:hAnsi="宋体" w:eastAsia="宋体" w:cs="宋体"/>
          <w:b/>
          <w:sz w:val="21"/>
          <w:szCs w:val="21"/>
        </w:rPr>
        <w:t>二、投标分项报价表</w:t>
      </w:r>
    </w:p>
    <w:p w14:paraId="30E04E1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08F337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14:paraId="4BA4E6E3">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420"/>
        <w:gridCol w:w="958"/>
        <w:gridCol w:w="1556"/>
        <w:gridCol w:w="1272"/>
        <w:gridCol w:w="853"/>
        <w:gridCol w:w="989"/>
        <w:gridCol w:w="569"/>
        <w:gridCol w:w="1093"/>
        <w:gridCol w:w="810"/>
      </w:tblGrid>
      <w:tr w14:paraId="6EBB6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420" w:type="dxa"/>
            <w:tcBorders>
              <w:tl2br w:val="nil"/>
              <w:tr2bl w:val="nil"/>
            </w:tcBorders>
            <w:shd w:val="clear" w:color="auto" w:fill="auto"/>
            <w:tcMar>
              <w:top w:w="0" w:type="dxa"/>
              <w:left w:w="105" w:type="dxa"/>
              <w:bottom w:w="0" w:type="dxa"/>
              <w:right w:w="105" w:type="dxa"/>
            </w:tcMar>
            <w:vAlign w:val="center"/>
          </w:tcPr>
          <w:p w14:paraId="7CC7265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958" w:type="dxa"/>
            <w:tcBorders>
              <w:tl2br w:val="nil"/>
              <w:tr2bl w:val="nil"/>
            </w:tcBorders>
            <w:shd w:val="clear" w:color="auto" w:fill="auto"/>
            <w:tcMar>
              <w:top w:w="0" w:type="dxa"/>
              <w:left w:w="105" w:type="dxa"/>
              <w:bottom w:w="0" w:type="dxa"/>
              <w:right w:w="105" w:type="dxa"/>
            </w:tcMar>
            <w:vAlign w:val="center"/>
          </w:tcPr>
          <w:p w14:paraId="74F1326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556" w:type="dxa"/>
            <w:tcBorders>
              <w:tl2br w:val="nil"/>
              <w:tr2bl w:val="nil"/>
            </w:tcBorders>
            <w:shd w:val="clear" w:color="auto" w:fill="auto"/>
            <w:tcMar>
              <w:top w:w="0" w:type="dxa"/>
              <w:left w:w="105" w:type="dxa"/>
              <w:bottom w:w="0" w:type="dxa"/>
              <w:right w:w="105" w:type="dxa"/>
            </w:tcMar>
            <w:vAlign w:val="center"/>
          </w:tcPr>
          <w:p w14:paraId="6D245F0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1272" w:type="dxa"/>
            <w:tcBorders>
              <w:tl2br w:val="nil"/>
              <w:tr2bl w:val="nil"/>
            </w:tcBorders>
            <w:shd w:val="clear" w:color="auto" w:fill="auto"/>
            <w:tcMar>
              <w:top w:w="0" w:type="dxa"/>
              <w:left w:w="105" w:type="dxa"/>
              <w:bottom w:w="0" w:type="dxa"/>
              <w:right w:w="105" w:type="dxa"/>
            </w:tcMar>
            <w:vAlign w:val="center"/>
          </w:tcPr>
          <w:p w14:paraId="2D88C99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853" w:type="dxa"/>
            <w:tcBorders>
              <w:tl2br w:val="nil"/>
              <w:tr2bl w:val="nil"/>
            </w:tcBorders>
            <w:shd w:val="clear" w:color="auto" w:fill="auto"/>
            <w:tcMar>
              <w:top w:w="0" w:type="dxa"/>
              <w:left w:w="105" w:type="dxa"/>
              <w:bottom w:w="0" w:type="dxa"/>
              <w:right w:w="105" w:type="dxa"/>
            </w:tcMar>
            <w:vAlign w:val="center"/>
          </w:tcPr>
          <w:p w14:paraId="6AAE7EC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989" w:type="dxa"/>
            <w:tcBorders>
              <w:tl2br w:val="nil"/>
              <w:tr2bl w:val="nil"/>
            </w:tcBorders>
            <w:shd w:val="clear" w:color="auto" w:fill="auto"/>
            <w:tcMar>
              <w:top w:w="0" w:type="dxa"/>
              <w:left w:w="105" w:type="dxa"/>
              <w:bottom w:w="0" w:type="dxa"/>
              <w:right w:w="105" w:type="dxa"/>
            </w:tcMar>
            <w:vAlign w:val="center"/>
          </w:tcPr>
          <w:p w14:paraId="681CD3E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14:paraId="425FC3A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569" w:type="dxa"/>
            <w:tcBorders>
              <w:tl2br w:val="nil"/>
              <w:tr2bl w:val="nil"/>
            </w:tcBorders>
            <w:shd w:val="clear" w:color="auto" w:fill="auto"/>
            <w:tcMar>
              <w:top w:w="0" w:type="dxa"/>
              <w:left w:w="105" w:type="dxa"/>
              <w:bottom w:w="0" w:type="dxa"/>
              <w:right w:w="105" w:type="dxa"/>
            </w:tcMar>
            <w:vAlign w:val="center"/>
          </w:tcPr>
          <w:p w14:paraId="47D2DBD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093" w:type="dxa"/>
            <w:tcBorders>
              <w:tl2br w:val="nil"/>
              <w:tr2bl w:val="nil"/>
            </w:tcBorders>
            <w:shd w:val="clear" w:color="auto" w:fill="auto"/>
            <w:tcMar>
              <w:top w:w="0" w:type="dxa"/>
              <w:left w:w="105" w:type="dxa"/>
              <w:bottom w:w="0" w:type="dxa"/>
              <w:right w:w="105" w:type="dxa"/>
            </w:tcMar>
            <w:vAlign w:val="center"/>
          </w:tcPr>
          <w:p w14:paraId="3F2F238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14:paraId="42837ED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810" w:type="dxa"/>
            <w:tcBorders>
              <w:tl2br w:val="nil"/>
              <w:tr2bl w:val="nil"/>
            </w:tcBorders>
            <w:shd w:val="clear" w:color="auto" w:fill="auto"/>
            <w:tcMar>
              <w:top w:w="0" w:type="dxa"/>
              <w:left w:w="105" w:type="dxa"/>
              <w:bottom w:w="0" w:type="dxa"/>
              <w:right w:w="105" w:type="dxa"/>
            </w:tcMar>
            <w:vAlign w:val="center"/>
          </w:tcPr>
          <w:p w14:paraId="786DBDC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14:paraId="37DE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20" w:type="dxa"/>
            <w:vMerge w:val="restart"/>
            <w:tcBorders>
              <w:tl2br w:val="nil"/>
              <w:tr2bl w:val="nil"/>
            </w:tcBorders>
            <w:shd w:val="clear" w:color="auto" w:fill="auto"/>
            <w:tcMar>
              <w:top w:w="0" w:type="dxa"/>
              <w:left w:w="105" w:type="dxa"/>
              <w:bottom w:w="0" w:type="dxa"/>
              <w:right w:w="105" w:type="dxa"/>
            </w:tcMar>
            <w:vAlign w:val="center"/>
          </w:tcPr>
          <w:p w14:paraId="7AD6039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958" w:type="dxa"/>
            <w:tcBorders>
              <w:tl2br w:val="nil"/>
              <w:tr2bl w:val="nil"/>
            </w:tcBorders>
            <w:shd w:val="clear" w:color="auto" w:fill="auto"/>
            <w:tcMar>
              <w:top w:w="0" w:type="dxa"/>
              <w:left w:w="105" w:type="dxa"/>
              <w:bottom w:w="0" w:type="dxa"/>
              <w:right w:w="105" w:type="dxa"/>
            </w:tcMar>
            <w:vAlign w:val="center"/>
          </w:tcPr>
          <w:p w14:paraId="5F659A7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556" w:type="dxa"/>
            <w:tcBorders>
              <w:tl2br w:val="nil"/>
              <w:tr2bl w:val="nil"/>
            </w:tcBorders>
            <w:shd w:val="clear" w:color="auto" w:fill="auto"/>
            <w:tcMar>
              <w:top w:w="0" w:type="dxa"/>
              <w:left w:w="105" w:type="dxa"/>
              <w:bottom w:w="0" w:type="dxa"/>
              <w:right w:w="105" w:type="dxa"/>
            </w:tcMar>
            <w:vAlign w:val="top"/>
          </w:tcPr>
          <w:p w14:paraId="3698951E">
            <w:pPr>
              <w:keepNext w:val="0"/>
              <w:keepLines w:val="0"/>
              <w:widowControl/>
              <w:suppressLineNumbers w:val="0"/>
              <w:jc w:val="left"/>
            </w:pPr>
          </w:p>
        </w:tc>
        <w:tc>
          <w:tcPr>
            <w:tcW w:w="1272" w:type="dxa"/>
            <w:tcBorders>
              <w:tl2br w:val="nil"/>
              <w:tr2bl w:val="nil"/>
            </w:tcBorders>
            <w:shd w:val="clear" w:color="auto" w:fill="auto"/>
            <w:tcMar>
              <w:top w:w="0" w:type="dxa"/>
              <w:left w:w="105" w:type="dxa"/>
              <w:bottom w:w="0" w:type="dxa"/>
              <w:right w:w="105" w:type="dxa"/>
            </w:tcMar>
            <w:vAlign w:val="center"/>
          </w:tcPr>
          <w:p w14:paraId="7CE22EC0">
            <w:pPr>
              <w:keepNext w:val="0"/>
              <w:keepLines w:val="0"/>
              <w:widowControl/>
              <w:suppressLineNumbers w:val="0"/>
              <w:jc w:val="left"/>
            </w:pPr>
          </w:p>
        </w:tc>
        <w:tc>
          <w:tcPr>
            <w:tcW w:w="853" w:type="dxa"/>
            <w:tcBorders>
              <w:tl2br w:val="nil"/>
              <w:tr2bl w:val="nil"/>
            </w:tcBorders>
            <w:shd w:val="clear" w:color="auto" w:fill="auto"/>
            <w:tcMar>
              <w:top w:w="0" w:type="dxa"/>
              <w:left w:w="105" w:type="dxa"/>
              <w:bottom w:w="0" w:type="dxa"/>
              <w:right w:w="105" w:type="dxa"/>
            </w:tcMar>
            <w:vAlign w:val="top"/>
          </w:tcPr>
          <w:p w14:paraId="3462CC9A">
            <w:pPr>
              <w:keepNext w:val="0"/>
              <w:keepLines w:val="0"/>
              <w:widowControl/>
              <w:suppressLineNumbers w:val="0"/>
              <w:jc w:val="left"/>
            </w:pPr>
          </w:p>
        </w:tc>
        <w:tc>
          <w:tcPr>
            <w:tcW w:w="989" w:type="dxa"/>
            <w:tcBorders>
              <w:tl2br w:val="nil"/>
              <w:tr2bl w:val="nil"/>
            </w:tcBorders>
            <w:shd w:val="clear" w:color="auto" w:fill="auto"/>
            <w:tcMar>
              <w:top w:w="0" w:type="dxa"/>
              <w:left w:w="105" w:type="dxa"/>
              <w:bottom w:w="0" w:type="dxa"/>
              <w:right w:w="105" w:type="dxa"/>
            </w:tcMar>
            <w:vAlign w:val="top"/>
          </w:tcPr>
          <w:p w14:paraId="55A8DD7F">
            <w:pPr>
              <w:keepNext w:val="0"/>
              <w:keepLines w:val="0"/>
              <w:widowControl/>
              <w:suppressLineNumbers w:val="0"/>
              <w:jc w:val="left"/>
            </w:pPr>
          </w:p>
        </w:tc>
        <w:tc>
          <w:tcPr>
            <w:tcW w:w="569" w:type="dxa"/>
            <w:tcBorders>
              <w:tl2br w:val="nil"/>
              <w:tr2bl w:val="nil"/>
            </w:tcBorders>
            <w:shd w:val="clear" w:color="auto" w:fill="auto"/>
            <w:tcMar>
              <w:top w:w="0" w:type="dxa"/>
              <w:left w:w="105" w:type="dxa"/>
              <w:bottom w:w="0" w:type="dxa"/>
              <w:right w:w="105" w:type="dxa"/>
            </w:tcMar>
            <w:vAlign w:val="top"/>
          </w:tcPr>
          <w:p w14:paraId="371DBBA4">
            <w:pPr>
              <w:keepNext w:val="0"/>
              <w:keepLines w:val="0"/>
              <w:widowControl/>
              <w:suppressLineNumbers w:val="0"/>
              <w:jc w:val="left"/>
            </w:pPr>
          </w:p>
        </w:tc>
        <w:tc>
          <w:tcPr>
            <w:tcW w:w="1093" w:type="dxa"/>
            <w:tcBorders>
              <w:tl2br w:val="nil"/>
              <w:tr2bl w:val="nil"/>
            </w:tcBorders>
            <w:shd w:val="clear" w:color="auto" w:fill="auto"/>
            <w:tcMar>
              <w:top w:w="0" w:type="dxa"/>
              <w:left w:w="105" w:type="dxa"/>
              <w:bottom w:w="0" w:type="dxa"/>
              <w:right w:w="105" w:type="dxa"/>
            </w:tcMar>
            <w:vAlign w:val="top"/>
          </w:tcPr>
          <w:p w14:paraId="4FEC2525">
            <w:pPr>
              <w:keepNext w:val="0"/>
              <w:keepLines w:val="0"/>
              <w:widowControl/>
              <w:suppressLineNumbers w:val="0"/>
              <w:jc w:val="left"/>
            </w:pPr>
          </w:p>
        </w:tc>
        <w:tc>
          <w:tcPr>
            <w:tcW w:w="810" w:type="dxa"/>
            <w:tcBorders>
              <w:tl2br w:val="nil"/>
              <w:tr2bl w:val="nil"/>
            </w:tcBorders>
            <w:shd w:val="clear" w:color="auto" w:fill="auto"/>
            <w:tcMar>
              <w:top w:w="0" w:type="dxa"/>
              <w:left w:w="105" w:type="dxa"/>
              <w:bottom w:w="0" w:type="dxa"/>
              <w:right w:w="105" w:type="dxa"/>
            </w:tcMar>
            <w:vAlign w:val="top"/>
          </w:tcPr>
          <w:p w14:paraId="6416F0E3">
            <w:pPr>
              <w:keepNext w:val="0"/>
              <w:keepLines w:val="0"/>
              <w:widowControl/>
              <w:suppressLineNumbers w:val="0"/>
              <w:jc w:val="left"/>
            </w:pPr>
          </w:p>
        </w:tc>
      </w:tr>
      <w:tr w14:paraId="257A8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20" w:type="dxa"/>
            <w:vMerge w:val="continue"/>
            <w:tcBorders>
              <w:tl2br w:val="nil"/>
              <w:tr2bl w:val="nil"/>
            </w:tcBorders>
            <w:shd w:val="clear" w:color="auto" w:fill="auto"/>
            <w:tcMar>
              <w:top w:w="0" w:type="dxa"/>
              <w:left w:w="105" w:type="dxa"/>
              <w:bottom w:w="0" w:type="dxa"/>
              <w:right w:w="105" w:type="dxa"/>
            </w:tcMar>
            <w:vAlign w:val="center"/>
          </w:tcPr>
          <w:p w14:paraId="296BF3C1">
            <w:pPr>
              <w:rPr>
                <w:rFonts w:hint="eastAsia" w:ascii="宋体"/>
                <w:sz w:val="24"/>
                <w:szCs w:val="24"/>
              </w:rPr>
            </w:pPr>
          </w:p>
        </w:tc>
        <w:tc>
          <w:tcPr>
            <w:tcW w:w="958" w:type="dxa"/>
            <w:tcBorders>
              <w:tl2br w:val="nil"/>
              <w:tr2bl w:val="nil"/>
            </w:tcBorders>
            <w:shd w:val="clear" w:color="auto" w:fill="auto"/>
            <w:tcMar>
              <w:top w:w="0" w:type="dxa"/>
              <w:left w:w="105" w:type="dxa"/>
              <w:bottom w:w="0" w:type="dxa"/>
              <w:right w:w="105" w:type="dxa"/>
            </w:tcMar>
            <w:vAlign w:val="center"/>
          </w:tcPr>
          <w:p w14:paraId="2D16672C">
            <w:pPr>
              <w:keepNext w:val="0"/>
              <w:keepLines w:val="0"/>
              <w:widowControl/>
              <w:suppressLineNumbers w:val="0"/>
              <w:jc w:val="left"/>
            </w:pPr>
          </w:p>
        </w:tc>
        <w:tc>
          <w:tcPr>
            <w:tcW w:w="1556" w:type="dxa"/>
            <w:tcBorders>
              <w:tl2br w:val="nil"/>
              <w:tr2bl w:val="nil"/>
            </w:tcBorders>
            <w:shd w:val="clear" w:color="auto" w:fill="auto"/>
            <w:tcMar>
              <w:top w:w="0" w:type="dxa"/>
              <w:left w:w="105" w:type="dxa"/>
              <w:bottom w:w="0" w:type="dxa"/>
              <w:right w:w="105" w:type="dxa"/>
            </w:tcMar>
            <w:vAlign w:val="top"/>
          </w:tcPr>
          <w:p w14:paraId="1C7CABE7">
            <w:pPr>
              <w:keepNext w:val="0"/>
              <w:keepLines w:val="0"/>
              <w:widowControl/>
              <w:suppressLineNumbers w:val="0"/>
              <w:jc w:val="left"/>
            </w:pPr>
          </w:p>
        </w:tc>
        <w:tc>
          <w:tcPr>
            <w:tcW w:w="1272" w:type="dxa"/>
            <w:tcBorders>
              <w:tl2br w:val="nil"/>
              <w:tr2bl w:val="nil"/>
            </w:tcBorders>
            <w:shd w:val="clear" w:color="auto" w:fill="auto"/>
            <w:tcMar>
              <w:top w:w="0" w:type="dxa"/>
              <w:left w:w="105" w:type="dxa"/>
              <w:bottom w:w="0" w:type="dxa"/>
              <w:right w:w="105" w:type="dxa"/>
            </w:tcMar>
            <w:vAlign w:val="center"/>
          </w:tcPr>
          <w:p w14:paraId="0FD6B444">
            <w:pPr>
              <w:keepNext w:val="0"/>
              <w:keepLines w:val="0"/>
              <w:widowControl/>
              <w:suppressLineNumbers w:val="0"/>
              <w:jc w:val="left"/>
            </w:pPr>
          </w:p>
        </w:tc>
        <w:tc>
          <w:tcPr>
            <w:tcW w:w="853" w:type="dxa"/>
            <w:tcBorders>
              <w:tl2br w:val="nil"/>
              <w:tr2bl w:val="nil"/>
            </w:tcBorders>
            <w:shd w:val="clear" w:color="auto" w:fill="auto"/>
            <w:tcMar>
              <w:top w:w="0" w:type="dxa"/>
              <w:left w:w="105" w:type="dxa"/>
              <w:bottom w:w="0" w:type="dxa"/>
              <w:right w:w="105" w:type="dxa"/>
            </w:tcMar>
            <w:vAlign w:val="top"/>
          </w:tcPr>
          <w:p w14:paraId="4101249C">
            <w:pPr>
              <w:keepNext w:val="0"/>
              <w:keepLines w:val="0"/>
              <w:widowControl/>
              <w:suppressLineNumbers w:val="0"/>
              <w:jc w:val="left"/>
            </w:pPr>
          </w:p>
        </w:tc>
        <w:tc>
          <w:tcPr>
            <w:tcW w:w="989" w:type="dxa"/>
            <w:tcBorders>
              <w:tl2br w:val="nil"/>
              <w:tr2bl w:val="nil"/>
            </w:tcBorders>
            <w:shd w:val="clear" w:color="auto" w:fill="auto"/>
            <w:tcMar>
              <w:top w:w="0" w:type="dxa"/>
              <w:left w:w="105" w:type="dxa"/>
              <w:bottom w:w="0" w:type="dxa"/>
              <w:right w:w="105" w:type="dxa"/>
            </w:tcMar>
            <w:vAlign w:val="top"/>
          </w:tcPr>
          <w:p w14:paraId="03ACF1C9">
            <w:pPr>
              <w:keepNext w:val="0"/>
              <w:keepLines w:val="0"/>
              <w:widowControl/>
              <w:suppressLineNumbers w:val="0"/>
              <w:jc w:val="left"/>
            </w:pPr>
          </w:p>
        </w:tc>
        <w:tc>
          <w:tcPr>
            <w:tcW w:w="569" w:type="dxa"/>
            <w:tcBorders>
              <w:tl2br w:val="nil"/>
              <w:tr2bl w:val="nil"/>
            </w:tcBorders>
            <w:shd w:val="clear" w:color="auto" w:fill="auto"/>
            <w:tcMar>
              <w:top w:w="0" w:type="dxa"/>
              <w:left w:w="105" w:type="dxa"/>
              <w:bottom w:w="0" w:type="dxa"/>
              <w:right w:w="105" w:type="dxa"/>
            </w:tcMar>
            <w:vAlign w:val="top"/>
          </w:tcPr>
          <w:p w14:paraId="1C186094">
            <w:pPr>
              <w:keepNext w:val="0"/>
              <w:keepLines w:val="0"/>
              <w:widowControl/>
              <w:suppressLineNumbers w:val="0"/>
              <w:jc w:val="left"/>
            </w:pPr>
          </w:p>
        </w:tc>
        <w:tc>
          <w:tcPr>
            <w:tcW w:w="1093" w:type="dxa"/>
            <w:tcBorders>
              <w:tl2br w:val="nil"/>
              <w:tr2bl w:val="nil"/>
            </w:tcBorders>
            <w:shd w:val="clear" w:color="auto" w:fill="auto"/>
            <w:tcMar>
              <w:top w:w="0" w:type="dxa"/>
              <w:left w:w="105" w:type="dxa"/>
              <w:bottom w:w="0" w:type="dxa"/>
              <w:right w:w="105" w:type="dxa"/>
            </w:tcMar>
            <w:vAlign w:val="top"/>
          </w:tcPr>
          <w:p w14:paraId="30323971">
            <w:pPr>
              <w:keepNext w:val="0"/>
              <w:keepLines w:val="0"/>
              <w:widowControl/>
              <w:suppressLineNumbers w:val="0"/>
              <w:jc w:val="left"/>
            </w:pPr>
          </w:p>
        </w:tc>
        <w:tc>
          <w:tcPr>
            <w:tcW w:w="810" w:type="dxa"/>
            <w:tcBorders>
              <w:tl2br w:val="nil"/>
              <w:tr2bl w:val="nil"/>
            </w:tcBorders>
            <w:shd w:val="clear" w:color="auto" w:fill="auto"/>
            <w:tcMar>
              <w:top w:w="0" w:type="dxa"/>
              <w:left w:w="105" w:type="dxa"/>
              <w:bottom w:w="0" w:type="dxa"/>
              <w:right w:w="105" w:type="dxa"/>
            </w:tcMar>
            <w:vAlign w:val="top"/>
          </w:tcPr>
          <w:p w14:paraId="0FDF9FC9">
            <w:pPr>
              <w:keepNext w:val="0"/>
              <w:keepLines w:val="0"/>
              <w:widowControl/>
              <w:suppressLineNumbers w:val="0"/>
              <w:jc w:val="left"/>
            </w:pPr>
          </w:p>
        </w:tc>
      </w:tr>
      <w:tr w14:paraId="4EA2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420" w:type="dxa"/>
            <w:tcBorders>
              <w:tl2br w:val="nil"/>
              <w:tr2bl w:val="nil"/>
            </w:tcBorders>
            <w:shd w:val="clear" w:color="auto" w:fill="auto"/>
            <w:tcMar>
              <w:top w:w="0" w:type="dxa"/>
              <w:left w:w="105" w:type="dxa"/>
              <w:bottom w:w="0" w:type="dxa"/>
              <w:right w:w="105" w:type="dxa"/>
            </w:tcMar>
            <w:vAlign w:val="center"/>
          </w:tcPr>
          <w:p w14:paraId="30B831B4">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958" w:type="dxa"/>
            <w:tcBorders>
              <w:tl2br w:val="nil"/>
              <w:tr2bl w:val="nil"/>
            </w:tcBorders>
            <w:shd w:val="clear" w:color="auto" w:fill="auto"/>
            <w:tcMar>
              <w:top w:w="0" w:type="dxa"/>
              <w:left w:w="105" w:type="dxa"/>
              <w:bottom w:w="0" w:type="dxa"/>
              <w:right w:w="105" w:type="dxa"/>
            </w:tcMar>
            <w:vAlign w:val="center"/>
          </w:tcPr>
          <w:p w14:paraId="3818A885">
            <w:pPr>
              <w:keepNext w:val="0"/>
              <w:keepLines w:val="0"/>
              <w:widowControl/>
              <w:suppressLineNumbers w:val="0"/>
              <w:jc w:val="left"/>
            </w:pPr>
          </w:p>
        </w:tc>
        <w:tc>
          <w:tcPr>
            <w:tcW w:w="1556" w:type="dxa"/>
            <w:tcBorders>
              <w:tl2br w:val="nil"/>
              <w:tr2bl w:val="nil"/>
            </w:tcBorders>
            <w:shd w:val="clear" w:color="auto" w:fill="auto"/>
            <w:tcMar>
              <w:top w:w="0" w:type="dxa"/>
              <w:left w:w="105" w:type="dxa"/>
              <w:bottom w:w="0" w:type="dxa"/>
              <w:right w:w="105" w:type="dxa"/>
            </w:tcMar>
            <w:vAlign w:val="top"/>
          </w:tcPr>
          <w:p w14:paraId="55B35864">
            <w:pPr>
              <w:keepNext w:val="0"/>
              <w:keepLines w:val="0"/>
              <w:widowControl/>
              <w:suppressLineNumbers w:val="0"/>
              <w:jc w:val="left"/>
            </w:pPr>
          </w:p>
        </w:tc>
        <w:tc>
          <w:tcPr>
            <w:tcW w:w="1272" w:type="dxa"/>
            <w:tcBorders>
              <w:tl2br w:val="nil"/>
              <w:tr2bl w:val="nil"/>
            </w:tcBorders>
            <w:shd w:val="clear" w:color="auto" w:fill="auto"/>
            <w:tcMar>
              <w:top w:w="0" w:type="dxa"/>
              <w:left w:w="105" w:type="dxa"/>
              <w:bottom w:w="0" w:type="dxa"/>
              <w:right w:w="105" w:type="dxa"/>
            </w:tcMar>
            <w:vAlign w:val="center"/>
          </w:tcPr>
          <w:p w14:paraId="5F844553">
            <w:pPr>
              <w:keepNext w:val="0"/>
              <w:keepLines w:val="0"/>
              <w:widowControl/>
              <w:suppressLineNumbers w:val="0"/>
              <w:jc w:val="left"/>
            </w:pPr>
          </w:p>
        </w:tc>
        <w:tc>
          <w:tcPr>
            <w:tcW w:w="853" w:type="dxa"/>
            <w:tcBorders>
              <w:tl2br w:val="nil"/>
              <w:tr2bl w:val="nil"/>
            </w:tcBorders>
            <w:shd w:val="clear" w:color="auto" w:fill="auto"/>
            <w:tcMar>
              <w:top w:w="0" w:type="dxa"/>
              <w:left w:w="105" w:type="dxa"/>
              <w:bottom w:w="0" w:type="dxa"/>
              <w:right w:w="105" w:type="dxa"/>
            </w:tcMar>
            <w:vAlign w:val="top"/>
          </w:tcPr>
          <w:p w14:paraId="118733C9">
            <w:pPr>
              <w:keepNext w:val="0"/>
              <w:keepLines w:val="0"/>
              <w:widowControl/>
              <w:suppressLineNumbers w:val="0"/>
              <w:jc w:val="left"/>
            </w:pPr>
          </w:p>
        </w:tc>
        <w:tc>
          <w:tcPr>
            <w:tcW w:w="989" w:type="dxa"/>
            <w:tcBorders>
              <w:tl2br w:val="nil"/>
              <w:tr2bl w:val="nil"/>
            </w:tcBorders>
            <w:shd w:val="clear" w:color="auto" w:fill="auto"/>
            <w:tcMar>
              <w:top w:w="0" w:type="dxa"/>
              <w:left w:w="105" w:type="dxa"/>
              <w:bottom w:w="0" w:type="dxa"/>
              <w:right w:w="105" w:type="dxa"/>
            </w:tcMar>
            <w:vAlign w:val="top"/>
          </w:tcPr>
          <w:p w14:paraId="6F283993">
            <w:pPr>
              <w:keepNext w:val="0"/>
              <w:keepLines w:val="0"/>
              <w:widowControl/>
              <w:suppressLineNumbers w:val="0"/>
              <w:jc w:val="left"/>
            </w:pPr>
          </w:p>
        </w:tc>
        <w:tc>
          <w:tcPr>
            <w:tcW w:w="569" w:type="dxa"/>
            <w:tcBorders>
              <w:tl2br w:val="nil"/>
              <w:tr2bl w:val="nil"/>
            </w:tcBorders>
            <w:shd w:val="clear" w:color="auto" w:fill="auto"/>
            <w:tcMar>
              <w:top w:w="0" w:type="dxa"/>
              <w:left w:w="105" w:type="dxa"/>
              <w:bottom w:w="0" w:type="dxa"/>
              <w:right w:w="105" w:type="dxa"/>
            </w:tcMar>
            <w:vAlign w:val="top"/>
          </w:tcPr>
          <w:p w14:paraId="4E9EAC5D">
            <w:pPr>
              <w:keepNext w:val="0"/>
              <w:keepLines w:val="0"/>
              <w:widowControl/>
              <w:suppressLineNumbers w:val="0"/>
              <w:jc w:val="left"/>
            </w:pPr>
          </w:p>
        </w:tc>
        <w:tc>
          <w:tcPr>
            <w:tcW w:w="1093" w:type="dxa"/>
            <w:tcBorders>
              <w:tl2br w:val="nil"/>
              <w:tr2bl w:val="nil"/>
            </w:tcBorders>
            <w:shd w:val="clear" w:color="auto" w:fill="auto"/>
            <w:tcMar>
              <w:top w:w="0" w:type="dxa"/>
              <w:left w:w="105" w:type="dxa"/>
              <w:bottom w:w="0" w:type="dxa"/>
              <w:right w:w="105" w:type="dxa"/>
            </w:tcMar>
            <w:vAlign w:val="top"/>
          </w:tcPr>
          <w:p w14:paraId="4FECDEF9">
            <w:pPr>
              <w:keepNext w:val="0"/>
              <w:keepLines w:val="0"/>
              <w:widowControl/>
              <w:suppressLineNumbers w:val="0"/>
              <w:jc w:val="left"/>
            </w:pPr>
          </w:p>
        </w:tc>
        <w:tc>
          <w:tcPr>
            <w:tcW w:w="810" w:type="dxa"/>
            <w:tcBorders>
              <w:tl2br w:val="nil"/>
              <w:tr2bl w:val="nil"/>
            </w:tcBorders>
            <w:shd w:val="clear" w:color="auto" w:fill="auto"/>
            <w:tcMar>
              <w:top w:w="0" w:type="dxa"/>
              <w:left w:w="105" w:type="dxa"/>
              <w:bottom w:w="0" w:type="dxa"/>
              <w:right w:w="105" w:type="dxa"/>
            </w:tcMar>
            <w:vAlign w:val="top"/>
          </w:tcPr>
          <w:p w14:paraId="6140627B">
            <w:pPr>
              <w:keepNext w:val="0"/>
              <w:keepLines w:val="0"/>
              <w:widowControl/>
              <w:suppressLineNumbers w:val="0"/>
              <w:jc w:val="left"/>
            </w:pPr>
          </w:p>
        </w:tc>
      </w:tr>
    </w:tbl>
    <w:p w14:paraId="6069154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7C7E92F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395D7CA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投标人应按照本表格式填写所投合同包的分项报价，其中：“合同包”、“品目号”、“投标标的”及“数量”应与招标文件《采购标的一览表》中的有关内容（“合同包”、“品目号”、“采购标的”及“数量”）保持一致，“合同包”还应与《开标一览表》中列示的“合同包”保持一致，即：若《开标一览表》中列示的“合同包”为“</w:t>
      </w:r>
      <w:r>
        <w:rPr>
          <w:rFonts w:hint="default" w:ascii="Calibri" w:hAnsi="Calibri" w:eastAsia="宋体" w:cs="Calibri"/>
          <w:sz w:val="21"/>
          <w:szCs w:val="21"/>
        </w:rPr>
        <w:t>1</w:t>
      </w:r>
      <w:r>
        <w:rPr>
          <w:rFonts w:hint="eastAsia" w:ascii="宋体" w:hAnsi="宋体" w:eastAsia="宋体" w:cs="宋体"/>
          <w:sz w:val="21"/>
          <w:szCs w:val="21"/>
        </w:rPr>
        <w:t>”时，本表中列示的“合同包”亦应为“</w:t>
      </w:r>
      <w:r>
        <w:rPr>
          <w:rFonts w:hint="default" w:ascii="Calibri" w:hAnsi="Calibri" w:eastAsia="宋体" w:cs="Calibri"/>
          <w:sz w:val="21"/>
          <w:szCs w:val="21"/>
        </w:rPr>
        <w:t>1</w:t>
      </w:r>
      <w:r>
        <w:rPr>
          <w:rFonts w:hint="eastAsia" w:ascii="宋体" w:hAnsi="宋体" w:eastAsia="宋体" w:cs="宋体"/>
          <w:sz w:val="21"/>
          <w:szCs w:val="21"/>
        </w:rPr>
        <w:t>”，以此类推。</w:t>
      </w:r>
    </w:p>
    <w:p w14:paraId="7D3EA98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8"/>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b/>
          <w:sz w:val="21"/>
          <w:szCs w:val="21"/>
        </w:rPr>
        <w:t>“来源地”</w:t>
      </w:r>
      <w:r>
        <w:rPr>
          <w:rFonts w:hint="eastAsia" w:ascii="宋体" w:hAnsi="宋体" w:eastAsia="宋体" w:cs="宋体"/>
          <w:sz w:val="21"/>
          <w:szCs w:val="21"/>
        </w:rPr>
        <w:t>应填写货物的原产地。</w:t>
      </w:r>
    </w:p>
    <w:p w14:paraId="1629992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8"/>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p>
    <w:p w14:paraId="73E671F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1.4同一合同包中，</w:t>
      </w:r>
      <w:r>
        <w:rPr>
          <w:rStyle w:val="8"/>
          <w:rFonts w:hint="eastAsia" w:ascii="宋体" w:hAnsi="宋体" w:eastAsia="宋体" w:cs="宋体"/>
          <w:b/>
          <w:sz w:val="21"/>
          <w:szCs w:val="21"/>
        </w:rPr>
        <w:t>“单价（现场）”</w:t>
      </w:r>
      <w:r>
        <w:rPr>
          <w:rFonts w:hint="eastAsia" w:ascii="宋体" w:hAnsi="宋体" w:eastAsia="宋体" w:cs="宋体"/>
          <w:sz w:val="21"/>
          <w:szCs w:val="21"/>
        </w:rPr>
        <w:t>×</w:t>
      </w:r>
      <w:r>
        <w:rPr>
          <w:rStyle w:val="8"/>
          <w:rFonts w:hint="eastAsia" w:ascii="宋体" w:hAnsi="宋体" w:eastAsia="宋体" w:cs="宋体"/>
          <w:b/>
          <w:sz w:val="21"/>
          <w:szCs w:val="21"/>
        </w:rPr>
        <w:t>“数量”</w:t>
      </w:r>
      <w:r>
        <w:rPr>
          <w:rFonts w:hint="eastAsia" w:ascii="宋体" w:hAnsi="宋体" w:eastAsia="宋体" w:cs="宋体"/>
          <w:sz w:val="21"/>
          <w:szCs w:val="21"/>
        </w:rPr>
        <w:t>=</w:t>
      </w:r>
      <w:r>
        <w:rPr>
          <w:rStyle w:val="8"/>
          <w:rFonts w:hint="eastAsia" w:ascii="宋体" w:hAnsi="宋体" w:eastAsia="宋体" w:cs="宋体"/>
          <w:b/>
          <w:sz w:val="21"/>
          <w:szCs w:val="21"/>
        </w:rPr>
        <w:t>“总价（现场）”</w:t>
      </w:r>
      <w:r>
        <w:rPr>
          <w:rFonts w:hint="eastAsia" w:ascii="宋体" w:hAnsi="宋体" w:eastAsia="宋体" w:cs="宋体"/>
          <w:sz w:val="21"/>
          <w:szCs w:val="21"/>
        </w:rPr>
        <w:t>，全部品目号</w:t>
      </w:r>
      <w:r>
        <w:rPr>
          <w:rStyle w:val="8"/>
          <w:rFonts w:hint="eastAsia" w:ascii="宋体" w:hAnsi="宋体" w:eastAsia="宋体" w:cs="宋体"/>
          <w:b/>
          <w:sz w:val="21"/>
          <w:szCs w:val="21"/>
        </w:rPr>
        <w:t>“总价（现场）”</w:t>
      </w:r>
      <w:r>
        <w:rPr>
          <w:rFonts w:hint="eastAsia" w:ascii="宋体" w:hAnsi="宋体" w:eastAsia="宋体" w:cs="宋体"/>
          <w:sz w:val="21"/>
          <w:szCs w:val="21"/>
        </w:rPr>
        <w:t>的合计金额应与《开标一览表》中相应合同包列示的</w:t>
      </w:r>
      <w:r>
        <w:rPr>
          <w:rStyle w:val="8"/>
          <w:rFonts w:hint="eastAsia" w:ascii="宋体" w:hAnsi="宋体" w:eastAsia="宋体" w:cs="宋体"/>
          <w:b/>
          <w:sz w:val="21"/>
          <w:szCs w:val="21"/>
        </w:rPr>
        <w:t>“投标总价”</w:t>
      </w:r>
      <w:r>
        <w:rPr>
          <w:rFonts w:hint="eastAsia" w:ascii="宋体" w:hAnsi="宋体" w:eastAsia="宋体" w:cs="宋体"/>
          <w:sz w:val="21"/>
          <w:szCs w:val="21"/>
        </w:rPr>
        <w:t>保持一致。</w:t>
      </w:r>
    </w:p>
    <w:p w14:paraId="72244CB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1.5若招标文件要求投标人对“备品备件价格、专用工具价格、技术服务费、安装调试费、检验培训费、运输费、保险费、税收”等进行报价的，请在本表的</w:t>
      </w:r>
      <w:r>
        <w:rPr>
          <w:rStyle w:val="8"/>
          <w:rFonts w:hint="eastAsia" w:ascii="宋体" w:hAnsi="宋体" w:eastAsia="宋体" w:cs="宋体"/>
          <w:b/>
          <w:sz w:val="21"/>
          <w:szCs w:val="21"/>
        </w:rPr>
        <w:t>“备注”</w:t>
      </w:r>
      <w:r>
        <w:rPr>
          <w:rFonts w:hint="eastAsia" w:ascii="宋体" w:hAnsi="宋体" w:eastAsia="宋体" w:cs="宋体"/>
          <w:sz w:val="21"/>
          <w:szCs w:val="21"/>
        </w:rPr>
        <w:t>项下填写。</w:t>
      </w:r>
    </w:p>
    <w:p w14:paraId="4FF54E2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2、纸质投标文件正本中的本表应为原件。</w:t>
      </w:r>
    </w:p>
    <w:p w14:paraId="6643E5B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B733EC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32B1AB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53BCD9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649498A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4161A33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4879EF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7582EDF">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Style w:val="8"/>
          <w:rFonts w:hint="eastAsia" w:ascii="宋体" w:hAnsi="宋体" w:eastAsia="宋体" w:cs="宋体"/>
          <w:b/>
          <w:sz w:val="21"/>
          <w:szCs w:val="21"/>
        </w:rPr>
        <w:t>三、招标文件规定的价格扣除证明材料（若有）</w:t>
      </w:r>
    </w:p>
    <w:p w14:paraId="65D57E1B">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三-1优先类节能产品、环境标志产品价格扣除证明材料（若有）</w:t>
      </w:r>
    </w:p>
    <w:p w14:paraId="7C446DC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三-1-①优先类节能产品、环境标志产品统计表（价格扣除适用，若有）</w:t>
      </w:r>
    </w:p>
    <w:p w14:paraId="3802C3F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77E9F0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14:paraId="2EE26F7F">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15"/>
        <w:gridCol w:w="1215"/>
        <w:gridCol w:w="1215"/>
        <w:gridCol w:w="1215"/>
        <w:gridCol w:w="1215"/>
        <w:gridCol w:w="1215"/>
        <w:gridCol w:w="1230"/>
      </w:tblGrid>
      <w:tr w14:paraId="6B4B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3985F4BB">
            <w:pPr>
              <w:keepNext w:val="0"/>
              <w:keepLines w:val="0"/>
              <w:widowControl/>
              <w:suppressLineNumbers w:val="0"/>
              <w:jc w:val="left"/>
            </w:pPr>
          </w:p>
        </w:tc>
        <w:tc>
          <w:tcPr>
            <w:tcW w:w="7305" w:type="dxa"/>
            <w:gridSpan w:val="6"/>
            <w:tcBorders>
              <w:tl2br w:val="nil"/>
              <w:tr2bl w:val="nil"/>
            </w:tcBorders>
            <w:shd w:val="clear" w:color="auto" w:fill="auto"/>
            <w:tcMar>
              <w:top w:w="0" w:type="dxa"/>
              <w:left w:w="105" w:type="dxa"/>
              <w:bottom w:w="0" w:type="dxa"/>
              <w:right w:w="105" w:type="dxa"/>
            </w:tcMar>
            <w:vAlign w:val="center"/>
          </w:tcPr>
          <w:p w14:paraId="75500C6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14:paraId="0CA4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2F25EF0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l2br w:val="nil"/>
              <w:tr2bl w:val="nil"/>
            </w:tcBorders>
            <w:shd w:val="clear" w:color="auto" w:fill="auto"/>
            <w:tcMar>
              <w:top w:w="0" w:type="dxa"/>
              <w:left w:w="105" w:type="dxa"/>
              <w:bottom w:w="0" w:type="dxa"/>
              <w:right w:w="105" w:type="dxa"/>
            </w:tcMar>
            <w:vAlign w:val="center"/>
          </w:tcPr>
          <w:p w14:paraId="7E6F3C8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l2br w:val="nil"/>
              <w:tr2bl w:val="nil"/>
            </w:tcBorders>
            <w:shd w:val="clear" w:color="auto" w:fill="auto"/>
            <w:tcMar>
              <w:top w:w="0" w:type="dxa"/>
              <w:left w:w="105" w:type="dxa"/>
              <w:bottom w:w="0" w:type="dxa"/>
              <w:right w:w="105" w:type="dxa"/>
            </w:tcMar>
            <w:vAlign w:val="center"/>
          </w:tcPr>
          <w:p w14:paraId="1B252D4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l2br w:val="nil"/>
              <w:tr2bl w:val="nil"/>
            </w:tcBorders>
            <w:shd w:val="clear" w:color="auto" w:fill="auto"/>
            <w:tcMar>
              <w:top w:w="0" w:type="dxa"/>
              <w:left w:w="105" w:type="dxa"/>
              <w:bottom w:w="0" w:type="dxa"/>
              <w:right w:w="105" w:type="dxa"/>
            </w:tcMar>
            <w:vAlign w:val="center"/>
          </w:tcPr>
          <w:p w14:paraId="406179E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14:paraId="704F01F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l2br w:val="nil"/>
              <w:tr2bl w:val="nil"/>
            </w:tcBorders>
            <w:shd w:val="clear" w:color="auto" w:fill="auto"/>
            <w:tcMar>
              <w:top w:w="0" w:type="dxa"/>
              <w:left w:w="105" w:type="dxa"/>
              <w:bottom w:w="0" w:type="dxa"/>
              <w:right w:w="105" w:type="dxa"/>
            </w:tcMar>
            <w:vAlign w:val="center"/>
          </w:tcPr>
          <w:p w14:paraId="48106B1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l2br w:val="nil"/>
              <w:tr2bl w:val="nil"/>
            </w:tcBorders>
            <w:shd w:val="clear" w:color="auto" w:fill="auto"/>
            <w:tcMar>
              <w:top w:w="0" w:type="dxa"/>
              <w:left w:w="105" w:type="dxa"/>
              <w:bottom w:w="0" w:type="dxa"/>
              <w:right w:w="105" w:type="dxa"/>
            </w:tcMar>
            <w:vAlign w:val="center"/>
          </w:tcPr>
          <w:p w14:paraId="52A0A0E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14:paraId="17B84A9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30" w:type="dxa"/>
            <w:tcBorders>
              <w:tl2br w:val="nil"/>
              <w:tr2bl w:val="nil"/>
            </w:tcBorders>
            <w:shd w:val="clear" w:color="auto" w:fill="auto"/>
            <w:tcMar>
              <w:top w:w="0" w:type="dxa"/>
              <w:left w:w="105" w:type="dxa"/>
              <w:bottom w:w="0" w:type="dxa"/>
              <w:right w:w="105" w:type="dxa"/>
            </w:tcMar>
            <w:vAlign w:val="center"/>
          </w:tcPr>
          <w:p w14:paraId="105F128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14:paraId="76C4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vMerge w:val="restart"/>
            <w:tcBorders>
              <w:tl2br w:val="nil"/>
              <w:tr2bl w:val="nil"/>
            </w:tcBorders>
            <w:shd w:val="clear" w:color="auto" w:fill="auto"/>
            <w:tcMar>
              <w:top w:w="0" w:type="dxa"/>
              <w:left w:w="105" w:type="dxa"/>
              <w:bottom w:w="0" w:type="dxa"/>
              <w:right w:w="105" w:type="dxa"/>
            </w:tcMar>
            <w:vAlign w:val="center"/>
          </w:tcPr>
          <w:p w14:paraId="45AEEFE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28BB51E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l2br w:val="nil"/>
              <w:tr2bl w:val="nil"/>
            </w:tcBorders>
            <w:shd w:val="clear" w:color="auto" w:fill="auto"/>
            <w:tcMar>
              <w:top w:w="0" w:type="dxa"/>
              <w:left w:w="105" w:type="dxa"/>
              <w:bottom w:w="0" w:type="dxa"/>
              <w:right w:w="105" w:type="dxa"/>
            </w:tcMar>
            <w:vAlign w:val="center"/>
          </w:tcPr>
          <w:p w14:paraId="1C43F433">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23060860">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2F6848E3">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59BAE883">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14:paraId="370F0502">
            <w:pPr>
              <w:keepNext w:val="0"/>
              <w:keepLines w:val="0"/>
              <w:widowControl/>
              <w:suppressLineNumbers w:val="0"/>
              <w:jc w:val="left"/>
            </w:pPr>
          </w:p>
        </w:tc>
      </w:tr>
      <w:tr w14:paraId="0D7C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5" w:type="dxa"/>
            <w:vMerge w:val="continue"/>
            <w:tcBorders>
              <w:tl2br w:val="nil"/>
              <w:tr2bl w:val="nil"/>
            </w:tcBorders>
            <w:shd w:val="clear" w:color="auto" w:fill="auto"/>
            <w:tcMar>
              <w:top w:w="0" w:type="dxa"/>
              <w:left w:w="105" w:type="dxa"/>
              <w:bottom w:w="0" w:type="dxa"/>
              <w:right w:w="105" w:type="dxa"/>
            </w:tcMar>
            <w:vAlign w:val="center"/>
          </w:tcPr>
          <w:p w14:paraId="52FD909E">
            <w:pPr>
              <w:rPr>
                <w:rFonts w:hint="eastAsia" w:ascii="宋体"/>
                <w:sz w:val="24"/>
                <w:szCs w:val="24"/>
              </w:rPr>
            </w:pPr>
          </w:p>
        </w:tc>
        <w:tc>
          <w:tcPr>
            <w:tcW w:w="1215" w:type="dxa"/>
            <w:tcBorders>
              <w:tl2br w:val="nil"/>
              <w:tr2bl w:val="nil"/>
            </w:tcBorders>
            <w:shd w:val="clear" w:color="auto" w:fill="auto"/>
            <w:tcMar>
              <w:top w:w="0" w:type="dxa"/>
              <w:left w:w="105" w:type="dxa"/>
              <w:bottom w:w="0" w:type="dxa"/>
              <w:right w:w="105" w:type="dxa"/>
            </w:tcMar>
            <w:vAlign w:val="center"/>
          </w:tcPr>
          <w:p w14:paraId="1581249F">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2E505324">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3E942EDE">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47C0B128">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3877DA44">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14:paraId="733D8AFA">
            <w:pPr>
              <w:keepNext w:val="0"/>
              <w:keepLines w:val="0"/>
              <w:widowControl/>
              <w:suppressLineNumbers w:val="0"/>
              <w:jc w:val="left"/>
            </w:pPr>
          </w:p>
        </w:tc>
      </w:tr>
      <w:tr w14:paraId="4083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38F2372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l2br w:val="nil"/>
              <w:tr2bl w:val="nil"/>
            </w:tcBorders>
            <w:shd w:val="clear" w:color="auto" w:fill="auto"/>
            <w:tcMar>
              <w:top w:w="0" w:type="dxa"/>
              <w:left w:w="105" w:type="dxa"/>
              <w:bottom w:w="0" w:type="dxa"/>
              <w:right w:w="105" w:type="dxa"/>
            </w:tcMar>
            <w:vAlign w:val="top"/>
          </w:tcPr>
          <w:p w14:paraId="7099F15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14:paraId="0B46C88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14:paraId="6E260AD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14:paraId="596161C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423D7A6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1、对节能、环境标志产品计算价格扣除时，只依据投标文件</w:t>
      </w:r>
      <w:r>
        <w:rPr>
          <w:rStyle w:val="8"/>
          <w:rFonts w:hint="eastAsia" w:ascii="宋体" w:hAnsi="宋体" w:eastAsia="宋体" w:cs="宋体"/>
          <w:b/>
          <w:sz w:val="21"/>
          <w:szCs w:val="21"/>
        </w:rPr>
        <w:t>“三</w:t>
      </w:r>
      <w:r>
        <w:rPr>
          <w:rStyle w:val="8"/>
          <w:rFonts w:hint="default" w:ascii="Calibri" w:hAnsi="Calibri" w:eastAsia="宋体" w:cs="Calibri"/>
          <w:b/>
          <w:sz w:val="21"/>
          <w:szCs w:val="21"/>
        </w:rPr>
        <w:t>-1-</w:t>
      </w:r>
      <w:r>
        <w:rPr>
          <w:rStyle w:val="8"/>
          <w:rFonts w:hint="eastAsia" w:ascii="宋体" w:hAnsi="宋体" w:eastAsia="宋体" w:cs="宋体"/>
          <w:b/>
          <w:sz w:val="21"/>
          <w:szCs w:val="21"/>
        </w:rPr>
        <w:t>②优先类节能产品、环境标志产品证明材料（价格扣除适用，若有）”。</w:t>
      </w:r>
    </w:p>
    <w:p w14:paraId="7C13F13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14:paraId="4A1CAB8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14:paraId="61B4F9E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3.1若节能、环境标志产品仅是构成投标产品的部件、组件或零件，则该投标产品不享受鼓励优惠政策。同一品目中各认证证书不重复计算价格扣除。强制类节能产品不享受价格扣除。</w:t>
      </w:r>
    </w:p>
    <w:p w14:paraId="2EDE8F7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14:paraId="362B89E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14:paraId="6C42895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8"/>
          <w:rFonts w:hint="eastAsia" w:ascii="宋体" w:hAnsi="宋体" w:eastAsia="宋体" w:cs="宋体"/>
          <w:b/>
          <w:sz w:val="21"/>
          <w:szCs w:val="21"/>
        </w:rPr>
        <w:t>视为提供虚假材料。</w:t>
      </w:r>
    </w:p>
    <w:p w14:paraId="1D0AA2C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14:paraId="1E17140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6A6B79D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115B8AD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038BA7C5">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三-1-②优先类节能产品、环境标志产品证明材料（价格扣除适用，若有）</w:t>
      </w:r>
    </w:p>
    <w:p w14:paraId="360FE8AD">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200B7A80">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4904149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4FCA7DE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1F021F2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14:paraId="4F032BD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A9046D1">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329C9BF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r>
        <w:rPr>
          <w:rStyle w:val="8"/>
          <w:rFonts w:hint="default" w:ascii="Calibri" w:hAnsi="Calibri" w:cs="Calibri"/>
          <w:b/>
          <w:sz w:val="21"/>
          <w:szCs w:val="21"/>
        </w:rPr>
        <w:br w:type="textWrapping"/>
      </w:r>
    </w:p>
    <w:p w14:paraId="300270F4">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88F570B">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8CC7A84">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5073555A">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72E7C96E">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0C295921">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6A97C66">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6A366818">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3AF3CA5B">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D4F079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61FA8E4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63A10DFF">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36683EE9">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6B27FD12">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195D73D7">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7C985732">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38200E3F">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24F6299E">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10453914">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48D93A40">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p>
    <w:p w14:paraId="0BC32662">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三-2小型、微型企业产品等价格扣除证明材料（若有）</w:t>
      </w:r>
    </w:p>
    <w:p w14:paraId="3E5A4A0F">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w:t>
      </w:r>
    </w:p>
    <w:p w14:paraId="2AFD108E">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三-2-①小型、微型企业产品等统计表（价格扣除适用，若有）</w:t>
      </w:r>
    </w:p>
    <w:p w14:paraId="497EB00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019A97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p w14:paraId="2FF20FA9">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15"/>
        <w:gridCol w:w="1215"/>
        <w:gridCol w:w="1080"/>
        <w:gridCol w:w="990"/>
        <w:gridCol w:w="705"/>
        <w:gridCol w:w="990"/>
        <w:gridCol w:w="1140"/>
        <w:gridCol w:w="1185"/>
      </w:tblGrid>
      <w:tr w14:paraId="506C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c>
          <w:tcPr>
            <w:tcW w:w="1215" w:type="dxa"/>
            <w:tcBorders>
              <w:tl2br w:val="nil"/>
              <w:tr2bl w:val="nil"/>
            </w:tcBorders>
            <w:shd w:val="clear" w:color="auto" w:fill="auto"/>
            <w:tcMar>
              <w:top w:w="0" w:type="dxa"/>
              <w:left w:w="105" w:type="dxa"/>
              <w:bottom w:w="0" w:type="dxa"/>
              <w:right w:w="105" w:type="dxa"/>
            </w:tcMar>
            <w:vAlign w:val="center"/>
          </w:tcPr>
          <w:p w14:paraId="38029FE7">
            <w:pPr>
              <w:keepNext w:val="0"/>
              <w:keepLines w:val="0"/>
              <w:widowControl/>
              <w:suppressLineNumbers w:val="0"/>
              <w:jc w:val="left"/>
            </w:pPr>
          </w:p>
        </w:tc>
        <w:tc>
          <w:tcPr>
            <w:tcW w:w="7305" w:type="dxa"/>
            <w:gridSpan w:val="7"/>
            <w:tcBorders>
              <w:tl2br w:val="nil"/>
              <w:tr2bl w:val="nil"/>
            </w:tcBorders>
            <w:shd w:val="clear" w:color="auto" w:fill="auto"/>
            <w:tcMar>
              <w:top w:w="0" w:type="dxa"/>
              <w:left w:w="105" w:type="dxa"/>
              <w:bottom w:w="0" w:type="dxa"/>
              <w:right w:w="105" w:type="dxa"/>
            </w:tcMar>
            <w:vAlign w:val="center"/>
          </w:tcPr>
          <w:p w14:paraId="023A77C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合同包内属于小型、微型企业产品等的情况</w:t>
            </w:r>
          </w:p>
        </w:tc>
      </w:tr>
      <w:tr w14:paraId="5F460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6F7F0EA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l2br w:val="nil"/>
              <w:tr2bl w:val="nil"/>
            </w:tcBorders>
            <w:shd w:val="clear" w:color="auto" w:fill="auto"/>
            <w:tcMar>
              <w:top w:w="0" w:type="dxa"/>
              <w:left w:w="105" w:type="dxa"/>
              <w:bottom w:w="0" w:type="dxa"/>
              <w:right w:w="105" w:type="dxa"/>
            </w:tcMar>
            <w:vAlign w:val="center"/>
          </w:tcPr>
          <w:p w14:paraId="05778D6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080" w:type="dxa"/>
            <w:tcBorders>
              <w:tl2br w:val="nil"/>
              <w:tr2bl w:val="nil"/>
            </w:tcBorders>
            <w:shd w:val="clear" w:color="auto" w:fill="auto"/>
            <w:tcMar>
              <w:top w:w="0" w:type="dxa"/>
              <w:left w:w="105" w:type="dxa"/>
              <w:bottom w:w="0" w:type="dxa"/>
              <w:right w:w="105" w:type="dxa"/>
            </w:tcMar>
            <w:vAlign w:val="center"/>
          </w:tcPr>
          <w:p w14:paraId="0652D10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采购标的</w:t>
            </w:r>
          </w:p>
        </w:tc>
        <w:tc>
          <w:tcPr>
            <w:tcW w:w="990" w:type="dxa"/>
            <w:tcBorders>
              <w:tl2br w:val="nil"/>
              <w:tr2bl w:val="nil"/>
            </w:tcBorders>
            <w:shd w:val="clear" w:color="auto" w:fill="auto"/>
            <w:tcMar>
              <w:top w:w="0" w:type="dxa"/>
              <w:left w:w="105" w:type="dxa"/>
              <w:bottom w:w="0" w:type="dxa"/>
              <w:right w:w="105" w:type="dxa"/>
            </w:tcMar>
            <w:vAlign w:val="center"/>
          </w:tcPr>
          <w:p w14:paraId="7D38C10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14:paraId="1566234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705" w:type="dxa"/>
            <w:tcBorders>
              <w:tl2br w:val="nil"/>
              <w:tr2bl w:val="nil"/>
            </w:tcBorders>
            <w:shd w:val="clear" w:color="auto" w:fill="auto"/>
            <w:tcMar>
              <w:top w:w="0" w:type="dxa"/>
              <w:left w:w="105" w:type="dxa"/>
              <w:bottom w:w="0" w:type="dxa"/>
              <w:right w:w="105" w:type="dxa"/>
            </w:tcMar>
            <w:vAlign w:val="center"/>
          </w:tcPr>
          <w:p w14:paraId="0B165C5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990" w:type="dxa"/>
            <w:tcBorders>
              <w:tl2br w:val="nil"/>
              <w:tr2bl w:val="nil"/>
            </w:tcBorders>
            <w:shd w:val="clear" w:color="auto" w:fill="auto"/>
            <w:tcMar>
              <w:top w:w="0" w:type="dxa"/>
              <w:left w:w="105" w:type="dxa"/>
              <w:bottom w:w="0" w:type="dxa"/>
              <w:right w:w="105" w:type="dxa"/>
            </w:tcMar>
            <w:vAlign w:val="center"/>
          </w:tcPr>
          <w:p w14:paraId="27C5CF96">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14:paraId="4B85EBA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140" w:type="dxa"/>
            <w:tcBorders>
              <w:tl2br w:val="nil"/>
              <w:tr2bl w:val="nil"/>
            </w:tcBorders>
            <w:shd w:val="clear" w:color="auto" w:fill="auto"/>
            <w:tcMar>
              <w:top w:w="0" w:type="dxa"/>
              <w:left w:w="105" w:type="dxa"/>
              <w:bottom w:w="0" w:type="dxa"/>
              <w:right w:w="105" w:type="dxa"/>
            </w:tcMar>
            <w:vAlign w:val="center"/>
          </w:tcPr>
          <w:p w14:paraId="6E59AC23">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制造厂商</w:t>
            </w:r>
          </w:p>
        </w:tc>
        <w:tc>
          <w:tcPr>
            <w:tcW w:w="1185" w:type="dxa"/>
            <w:tcBorders>
              <w:tl2br w:val="nil"/>
              <w:tr2bl w:val="nil"/>
            </w:tcBorders>
            <w:shd w:val="clear" w:color="auto" w:fill="auto"/>
            <w:tcMar>
              <w:top w:w="0" w:type="dxa"/>
              <w:left w:w="105" w:type="dxa"/>
              <w:bottom w:w="0" w:type="dxa"/>
              <w:right w:w="105" w:type="dxa"/>
            </w:tcMar>
            <w:vAlign w:val="center"/>
          </w:tcPr>
          <w:p w14:paraId="23F34B4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企业类型</w:t>
            </w:r>
          </w:p>
        </w:tc>
      </w:tr>
      <w:tr w14:paraId="175F5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vMerge w:val="restart"/>
            <w:tcBorders>
              <w:tl2br w:val="nil"/>
              <w:tr2bl w:val="nil"/>
            </w:tcBorders>
            <w:shd w:val="clear" w:color="auto" w:fill="auto"/>
            <w:tcMar>
              <w:top w:w="0" w:type="dxa"/>
              <w:left w:w="105" w:type="dxa"/>
              <w:bottom w:w="0" w:type="dxa"/>
              <w:right w:w="105" w:type="dxa"/>
            </w:tcMar>
            <w:vAlign w:val="center"/>
          </w:tcPr>
          <w:p w14:paraId="2B3F36C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7658C42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080" w:type="dxa"/>
            <w:tcBorders>
              <w:tl2br w:val="nil"/>
              <w:tr2bl w:val="nil"/>
            </w:tcBorders>
            <w:shd w:val="clear" w:color="auto" w:fill="auto"/>
            <w:tcMar>
              <w:top w:w="0" w:type="dxa"/>
              <w:left w:w="105" w:type="dxa"/>
              <w:bottom w:w="0" w:type="dxa"/>
              <w:right w:w="105" w:type="dxa"/>
            </w:tcMar>
            <w:vAlign w:val="center"/>
          </w:tcPr>
          <w:p w14:paraId="2CCA9319">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14:paraId="7106DC79">
            <w:pPr>
              <w:keepNext w:val="0"/>
              <w:keepLines w:val="0"/>
              <w:widowControl/>
              <w:suppressLineNumbers w:val="0"/>
              <w:jc w:val="left"/>
            </w:pPr>
          </w:p>
        </w:tc>
        <w:tc>
          <w:tcPr>
            <w:tcW w:w="705" w:type="dxa"/>
            <w:tcBorders>
              <w:tl2br w:val="nil"/>
              <w:tr2bl w:val="nil"/>
            </w:tcBorders>
            <w:shd w:val="clear" w:color="auto" w:fill="auto"/>
            <w:tcMar>
              <w:top w:w="0" w:type="dxa"/>
              <w:left w:w="105" w:type="dxa"/>
              <w:bottom w:w="0" w:type="dxa"/>
              <w:right w:w="105" w:type="dxa"/>
            </w:tcMar>
            <w:vAlign w:val="center"/>
          </w:tcPr>
          <w:p w14:paraId="6C614B0F">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14:paraId="4CAE6BA1">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center"/>
          </w:tcPr>
          <w:p w14:paraId="5ADCB5C3">
            <w:pPr>
              <w:keepNext w:val="0"/>
              <w:keepLines w:val="0"/>
              <w:widowControl/>
              <w:suppressLineNumbers w:val="0"/>
              <w:jc w:val="left"/>
            </w:pPr>
          </w:p>
        </w:tc>
        <w:tc>
          <w:tcPr>
            <w:tcW w:w="1185" w:type="dxa"/>
            <w:tcBorders>
              <w:tl2br w:val="nil"/>
              <w:tr2bl w:val="nil"/>
            </w:tcBorders>
            <w:shd w:val="clear" w:color="auto" w:fill="auto"/>
            <w:tcMar>
              <w:top w:w="0" w:type="dxa"/>
              <w:left w:w="105" w:type="dxa"/>
              <w:bottom w:w="0" w:type="dxa"/>
              <w:right w:w="105" w:type="dxa"/>
            </w:tcMar>
            <w:vAlign w:val="center"/>
          </w:tcPr>
          <w:p w14:paraId="40656566">
            <w:pPr>
              <w:keepNext w:val="0"/>
              <w:keepLines w:val="0"/>
              <w:widowControl/>
              <w:suppressLineNumbers w:val="0"/>
              <w:jc w:val="left"/>
            </w:pPr>
          </w:p>
        </w:tc>
      </w:tr>
      <w:tr w14:paraId="33F5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vMerge w:val="continue"/>
            <w:tcBorders>
              <w:tl2br w:val="nil"/>
              <w:tr2bl w:val="nil"/>
            </w:tcBorders>
            <w:shd w:val="clear" w:color="auto" w:fill="auto"/>
            <w:tcMar>
              <w:top w:w="0" w:type="dxa"/>
              <w:left w:w="105" w:type="dxa"/>
              <w:bottom w:w="0" w:type="dxa"/>
              <w:right w:w="105" w:type="dxa"/>
            </w:tcMar>
            <w:vAlign w:val="center"/>
          </w:tcPr>
          <w:p w14:paraId="01CB5AEC">
            <w:pPr>
              <w:rPr>
                <w:rFonts w:hint="eastAsia" w:ascii="宋体"/>
                <w:sz w:val="24"/>
                <w:szCs w:val="24"/>
              </w:rPr>
            </w:pPr>
          </w:p>
        </w:tc>
        <w:tc>
          <w:tcPr>
            <w:tcW w:w="1215" w:type="dxa"/>
            <w:tcBorders>
              <w:tl2br w:val="nil"/>
              <w:tr2bl w:val="nil"/>
            </w:tcBorders>
            <w:shd w:val="clear" w:color="auto" w:fill="auto"/>
            <w:tcMar>
              <w:top w:w="0" w:type="dxa"/>
              <w:left w:w="105" w:type="dxa"/>
              <w:bottom w:w="0" w:type="dxa"/>
              <w:right w:w="105" w:type="dxa"/>
            </w:tcMar>
            <w:vAlign w:val="center"/>
          </w:tcPr>
          <w:p w14:paraId="09CCE632">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080" w:type="dxa"/>
            <w:tcBorders>
              <w:tl2br w:val="nil"/>
              <w:tr2bl w:val="nil"/>
            </w:tcBorders>
            <w:shd w:val="clear" w:color="auto" w:fill="auto"/>
            <w:tcMar>
              <w:top w:w="0" w:type="dxa"/>
              <w:left w:w="105" w:type="dxa"/>
              <w:bottom w:w="0" w:type="dxa"/>
              <w:right w:w="105" w:type="dxa"/>
            </w:tcMar>
            <w:vAlign w:val="center"/>
          </w:tcPr>
          <w:p w14:paraId="7A2D2D6B">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14:paraId="2039C5E4">
            <w:pPr>
              <w:keepNext w:val="0"/>
              <w:keepLines w:val="0"/>
              <w:widowControl/>
              <w:suppressLineNumbers w:val="0"/>
              <w:jc w:val="left"/>
            </w:pPr>
          </w:p>
        </w:tc>
        <w:tc>
          <w:tcPr>
            <w:tcW w:w="705" w:type="dxa"/>
            <w:tcBorders>
              <w:tl2br w:val="nil"/>
              <w:tr2bl w:val="nil"/>
            </w:tcBorders>
            <w:shd w:val="clear" w:color="auto" w:fill="auto"/>
            <w:tcMar>
              <w:top w:w="0" w:type="dxa"/>
              <w:left w:w="105" w:type="dxa"/>
              <w:bottom w:w="0" w:type="dxa"/>
              <w:right w:w="105" w:type="dxa"/>
            </w:tcMar>
            <w:vAlign w:val="center"/>
          </w:tcPr>
          <w:p w14:paraId="430FB428">
            <w:pPr>
              <w:keepNext w:val="0"/>
              <w:keepLines w:val="0"/>
              <w:widowControl/>
              <w:suppressLineNumbers w:val="0"/>
              <w:jc w:val="left"/>
            </w:pPr>
          </w:p>
        </w:tc>
        <w:tc>
          <w:tcPr>
            <w:tcW w:w="990" w:type="dxa"/>
            <w:tcBorders>
              <w:tl2br w:val="nil"/>
              <w:tr2bl w:val="nil"/>
            </w:tcBorders>
            <w:shd w:val="clear" w:color="auto" w:fill="auto"/>
            <w:tcMar>
              <w:top w:w="0" w:type="dxa"/>
              <w:left w:w="105" w:type="dxa"/>
              <w:bottom w:w="0" w:type="dxa"/>
              <w:right w:w="105" w:type="dxa"/>
            </w:tcMar>
            <w:vAlign w:val="center"/>
          </w:tcPr>
          <w:p w14:paraId="743B0D98">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center"/>
          </w:tcPr>
          <w:p w14:paraId="0E6581FB">
            <w:pPr>
              <w:keepNext w:val="0"/>
              <w:keepLines w:val="0"/>
              <w:widowControl/>
              <w:suppressLineNumbers w:val="0"/>
              <w:jc w:val="left"/>
            </w:pPr>
          </w:p>
        </w:tc>
        <w:tc>
          <w:tcPr>
            <w:tcW w:w="1185" w:type="dxa"/>
            <w:tcBorders>
              <w:tl2br w:val="nil"/>
              <w:tr2bl w:val="nil"/>
            </w:tcBorders>
            <w:shd w:val="clear" w:color="auto" w:fill="auto"/>
            <w:tcMar>
              <w:top w:w="0" w:type="dxa"/>
              <w:left w:w="105" w:type="dxa"/>
              <w:bottom w:w="0" w:type="dxa"/>
              <w:right w:w="105" w:type="dxa"/>
            </w:tcMar>
            <w:vAlign w:val="center"/>
          </w:tcPr>
          <w:p w14:paraId="16371AB7">
            <w:pPr>
              <w:keepNext w:val="0"/>
              <w:keepLines w:val="0"/>
              <w:widowControl/>
              <w:suppressLineNumbers w:val="0"/>
              <w:jc w:val="left"/>
            </w:pPr>
          </w:p>
        </w:tc>
      </w:tr>
      <w:tr w14:paraId="1C085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58CA613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7"/>
            <w:tcBorders>
              <w:tl2br w:val="nil"/>
              <w:tr2bl w:val="nil"/>
            </w:tcBorders>
            <w:shd w:val="clear" w:color="auto" w:fill="auto"/>
            <w:tcMar>
              <w:top w:w="0" w:type="dxa"/>
              <w:left w:w="105" w:type="dxa"/>
              <w:bottom w:w="0" w:type="dxa"/>
              <w:right w:w="105" w:type="dxa"/>
            </w:tcMar>
            <w:vAlign w:val="top"/>
          </w:tcPr>
          <w:p w14:paraId="2786F0E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合同包内属于小型、微型企业产品等的报价总金额：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tc>
      </w:tr>
    </w:tbl>
    <w:p w14:paraId="323C0D3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3DEDFF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1、对小型、微型企业产品等计算价格扣除时，只依据投标文件</w:t>
      </w:r>
      <w:r>
        <w:rPr>
          <w:rStyle w:val="8"/>
          <w:rFonts w:hint="eastAsia" w:ascii="宋体" w:hAnsi="宋体" w:eastAsia="宋体" w:cs="宋体"/>
          <w:b/>
          <w:sz w:val="21"/>
          <w:szCs w:val="21"/>
        </w:rPr>
        <w:t>“三</w:t>
      </w:r>
      <w:r>
        <w:rPr>
          <w:rStyle w:val="8"/>
          <w:rFonts w:hint="default" w:ascii="Calibri" w:hAnsi="Calibri" w:eastAsia="宋体" w:cs="Calibri"/>
          <w:b/>
          <w:sz w:val="21"/>
          <w:szCs w:val="21"/>
        </w:rPr>
        <w:t>-2-</w:t>
      </w:r>
      <w:r>
        <w:rPr>
          <w:rStyle w:val="8"/>
          <w:rFonts w:hint="eastAsia" w:ascii="宋体" w:hAnsi="宋体" w:eastAsia="宋体" w:cs="宋体"/>
          <w:b/>
          <w:sz w:val="21"/>
          <w:szCs w:val="21"/>
        </w:rPr>
        <w:t>②中小企业声明函（价格扣除适用，若有）”及“三</w:t>
      </w:r>
      <w:r>
        <w:rPr>
          <w:rStyle w:val="8"/>
          <w:rFonts w:hint="default" w:ascii="Calibri" w:hAnsi="Calibri" w:eastAsia="宋体" w:cs="Calibri"/>
          <w:b/>
          <w:sz w:val="21"/>
          <w:szCs w:val="21"/>
        </w:rPr>
        <w:t>-2-</w:t>
      </w:r>
      <w:r>
        <w:rPr>
          <w:rStyle w:val="8"/>
          <w:rFonts w:hint="eastAsia" w:ascii="宋体" w:hAnsi="宋体" w:eastAsia="宋体" w:cs="宋体"/>
          <w:b/>
          <w:sz w:val="21"/>
          <w:szCs w:val="21"/>
        </w:rPr>
        <w:t>③小型、微型企业等证明材料（价格扣除适用，若有）”。</w:t>
      </w:r>
    </w:p>
    <w:p w14:paraId="4D22391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14:paraId="7A42D2E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w:t>
      </w:r>
      <w:r>
        <w:rPr>
          <w:rStyle w:val="8"/>
          <w:rFonts w:hint="eastAsia" w:ascii="宋体" w:hAnsi="宋体" w:eastAsia="宋体" w:cs="宋体"/>
          <w:b/>
          <w:sz w:val="21"/>
          <w:szCs w:val="21"/>
        </w:rPr>
        <w:t>除本表第4条规定情形外，小型、微型企业（含监狱企业）承担的工程或提供的服务不享受价格扣除。</w:t>
      </w:r>
    </w:p>
    <w:p w14:paraId="32F0346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b/>
          <w:sz w:val="21"/>
          <w:szCs w:val="21"/>
        </w:rPr>
        <w:t>可享受价格扣除。</w:t>
      </w:r>
    </w:p>
    <w:p w14:paraId="094251B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5、纸质投标文件正本中的本表（若有）应为原件。</w:t>
      </w:r>
    </w:p>
    <w:p w14:paraId="5303ABE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FE9EE4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F9BE46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1B9613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942CA7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0DDB574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EC4C2D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4CF40E3">
      <w:pPr>
        <w:pStyle w:val="5"/>
        <w:keepNext w:val="0"/>
        <w:keepLines w:val="0"/>
        <w:widowControl/>
        <w:suppressLineNumbers w:val="0"/>
        <w:spacing w:before="0" w:beforeAutospacing="0" w:after="150" w:afterAutospacing="0"/>
        <w:ind w:left="0" w:right="0"/>
        <w:jc w:val="center"/>
      </w:pPr>
      <w:r>
        <w:rPr>
          <w:rStyle w:val="8"/>
          <w:rFonts w:hint="default" w:ascii="Calibri" w:hAnsi="Calibri" w:cs="Calibri"/>
          <w:b/>
          <w:sz w:val="21"/>
          <w:szCs w:val="21"/>
        </w:rPr>
        <w:br w:type="textWrapping"/>
      </w:r>
      <w:r>
        <w:rPr>
          <w:rStyle w:val="8"/>
          <w:rFonts w:hint="eastAsia" w:ascii="宋体" w:hAnsi="宋体" w:eastAsia="宋体" w:cs="宋体"/>
          <w:b/>
          <w:sz w:val="21"/>
          <w:szCs w:val="21"/>
        </w:rPr>
        <w:t>三-2-②中小企业声明函（价格扣除适用，若有）</w:t>
      </w:r>
    </w:p>
    <w:p w14:paraId="167DD236">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245594F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本投标人郑重声明，根据《政府采购促进中小企业发展暂行办法》（财库[2011]181号）的规定，本投标人为</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企业。即本投标人同时满足以下条件：</w:t>
      </w:r>
    </w:p>
    <w:p w14:paraId="2E138340">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1、根据《工业和信息化部、国家统计局、国家发展和改革委员会、财政部关于印发中小企业划型标准规定的通知》（工信部联企业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号）规定的划分标准，本投标人为</w:t>
      </w:r>
      <w:r>
        <w:rPr>
          <w:rFonts w:hint="eastAsia" w:ascii="宋体" w:hAnsi="宋体" w:eastAsia="宋体" w:cs="宋体"/>
          <w:sz w:val="21"/>
          <w:szCs w:val="21"/>
          <w:u w:val="single"/>
        </w:rPr>
        <w:t>  （填写“中型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w:t>
      </w:r>
    </w:p>
    <w:p w14:paraId="3E79676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2、本投标人参加贵单位组织的</w:t>
      </w:r>
      <w:r>
        <w:rPr>
          <w:rFonts w:hint="eastAsia" w:ascii="宋体" w:hAnsi="宋体" w:eastAsia="宋体" w:cs="宋体"/>
          <w:sz w:val="21"/>
          <w:szCs w:val="21"/>
          <w:u w:val="single"/>
        </w:rPr>
        <w:t> （填写“项目名称”） </w:t>
      </w:r>
      <w:r>
        <w:rPr>
          <w:rFonts w:hint="eastAsia" w:ascii="宋体" w:hAnsi="宋体" w:eastAsia="宋体" w:cs="宋体"/>
          <w:sz w:val="21"/>
          <w:szCs w:val="21"/>
        </w:rPr>
        <w:t>项目采购活动，其中：</w:t>
      </w:r>
    </w:p>
    <w:p w14:paraId="44A719E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①货物（不包括使用大型企业注册商标的货物）：</w:t>
      </w:r>
    </w:p>
    <w:p w14:paraId="40314BE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货物；或</w:t>
      </w:r>
    </w:p>
    <w:p w14:paraId="1637111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w:t>
      </w:r>
      <w:r>
        <w:rPr>
          <w:rFonts w:hint="eastAsia" w:ascii="宋体" w:hAnsi="宋体" w:eastAsia="宋体" w:cs="宋体"/>
          <w:sz w:val="21"/>
          <w:szCs w:val="21"/>
          <w:u w:val="single"/>
        </w:rPr>
        <w:t>（填写“中型</w:t>
      </w:r>
      <w:r>
        <w:rPr>
          <w:rFonts w:hint="default" w:ascii="Calibri" w:hAnsi="Calibri" w:eastAsia="宋体" w:cs="Calibri"/>
          <w:sz w:val="21"/>
          <w:szCs w:val="21"/>
          <w:u w:val="single"/>
        </w:rPr>
        <w:t>/</w:t>
      </w:r>
      <w:r>
        <w:rPr>
          <w:rFonts w:hint="eastAsia" w:ascii="宋体" w:hAnsi="宋体" w:eastAsia="宋体" w:cs="宋体"/>
          <w:sz w:val="21"/>
          <w:szCs w:val="21"/>
          <w:u w:val="single"/>
        </w:rPr>
        <w:t>小型</w:t>
      </w:r>
      <w:r>
        <w:rPr>
          <w:rFonts w:hint="default" w:ascii="Calibri" w:hAnsi="Calibri" w:eastAsia="宋体" w:cs="Calibri"/>
          <w:sz w:val="21"/>
          <w:szCs w:val="21"/>
          <w:u w:val="single"/>
        </w:rPr>
        <w:t>/</w:t>
      </w:r>
      <w:r>
        <w:rPr>
          <w:rFonts w:hint="eastAsia" w:ascii="宋体" w:hAnsi="宋体" w:eastAsia="宋体" w:cs="宋体"/>
          <w:sz w:val="21"/>
          <w:szCs w:val="21"/>
          <w:u w:val="single"/>
        </w:rPr>
        <w:t>微型”）</w:t>
      </w:r>
      <w:r>
        <w:rPr>
          <w:rFonts w:hint="eastAsia" w:ascii="宋体" w:hAnsi="宋体" w:eastAsia="宋体" w:cs="宋体"/>
          <w:sz w:val="21"/>
          <w:szCs w:val="21"/>
        </w:rPr>
        <w:t>企业制造的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14:paraId="4BC40F9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②工程：</w:t>
      </w:r>
    </w:p>
    <w:p w14:paraId="2D924AE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14:paraId="7C4CCFF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③服务：</w:t>
      </w:r>
    </w:p>
    <w:p w14:paraId="61323D1F">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w:t>
      </w:r>
    </w:p>
    <w:p w14:paraId="631EB43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14:paraId="7A835815">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14:paraId="65F7665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6C4E741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14:paraId="748F7F3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2、投标人应认真对照《工业和信息化部、国家统计局、国家发展和改革委员会、财政部关于印发中小企业划型标准规定的通知》（工信部联企业</w:t>
      </w:r>
      <w:r>
        <w:rPr>
          <w:rFonts w:hint="default" w:ascii="Calibri" w:hAnsi="Calibri" w:eastAsia="宋体" w:cs="Calibri"/>
          <w:sz w:val="21"/>
          <w:szCs w:val="21"/>
        </w:rPr>
        <w:t>[2011]300</w:t>
      </w:r>
      <w:r>
        <w:rPr>
          <w:rFonts w:hint="eastAsia" w:ascii="宋体" w:hAnsi="宋体" w:eastAsia="宋体" w:cs="宋体"/>
          <w:sz w:val="21"/>
          <w:szCs w:val="21"/>
        </w:rPr>
        <w:t>号）规定的划分标准，并按照国家统计局现行的关于统计上大中小微型企业划分办法的有关规定准确划分企业类型。</w:t>
      </w:r>
    </w:p>
    <w:p w14:paraId="4FE8F6D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3、若《中小企业声明函》内容不真实，</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14:paraId="05CF15C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4、投标人为监狱企业的，可不填写本声明函。</w:t>
      </w:r>
    </w:p>
    <w:p w14:paraId="49B9181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5、投标人为残疾人福利性单位的，可不填写本声明函。</w:t>
      </w:r>
    </w:p>
    <w:p w14:paraId="16367B9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6、纸质投标文件正本中的本声明函（若有）应为原件。</w:t>
      </w:r>
    </w:p>
    <w:p w14:paraId="40B1A19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E80AE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4B07DB5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33D1225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67941DC3">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r>
        <w:rPr>
          <w:rStyle w:val="8"/>
          <w:rFonts w:hint="eastAsia" w:ascii="宋体" w:hAnsi="宋体" w:eastAsia="宋体" w:cs="宋体"/>
          <w:b/>
          <w:sz w:val="21"/>
          <w:szCs w:val="21"/>
        </w:rPr>
        <w:t>三-2-③小型、微型企业等证明材料（价格扣除适用，若有）</w:t>
      </w:r>
    </w:p>
    <w:p w14:paraId="2D3229E2">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472ABA7B">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17F1AC6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224A41F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608F82C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1、投标人应按照招标文件要求提供相应证明材料，证明材料应与《中小企业声明函》的内容相一致，否则视为《中小企业声明函》内容不真实。</w:t>
      </w:r>
    </w:p>
    <w:p w14:paraId="1BBC3C2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2、投标人为监狱企业的，根据其提供的由省级以上监狱管理局、戒毒管理局（含新疆生产建设兵团）出具的属于监狱企业的证明文件进行认定，监狱企业视同小型、微型企业。</w:t>
      </w:r>
    </w:p>
    <w:p w14:paraId="636C0AD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3、投标人为残疾人福利性单位的，根据其提供的《残疾人福利性单位声明函》（格式附后）进行认定，残疾人福利性单位视同小型、微型企业。残疾人福利性单位属于小型、微型企业的，不重复享受政策。</w:t>
      </w:r>
    </w:p>
    <w:p w14:paraId="64D2F30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5C06C9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D2100BE">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br w:type="textWrapping"/>
      </w:r>
      <w:r>
        <w:rPr>
          <w:rFonts w:hint="eastAsia" w:ascii="宋体" w:hAnsi="宋体" w:eastAsia="宋体" w:cs="宋体"/>
          <w:sz w:val="21"/>
          <w:szCs w:val="21"/>
        </w:rPr>
        <w:t>附：</w:t>
      </w:r>
    </w:p>
    <w:p w14:paraId="1A53D48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残疾人福利性单位声明函（价格扣除适用，若有）</w:t>
      </w:r>
    </w:p>
    <w:p w14:paraId="4F24FF42">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6A53B1C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本投标人郑重声明，根据《财政部 民政部 中国残疾人联合会关于促进残疾人就业政府采购政策的通知》（财库[2017]141号）的规定，本投标人为符合条件的残疾人福利性单位，且本投标人参加贵单位的</w:t>
      </w:r>
      <w:r>
        <w:rPr>
          <w:rFonts w:hint="eastAsia" w:ascii="宋体" w:hAnsi="宋体" w:eastAsia="宋体" w:cs="宋体"/>
          <w:sz w:val="21"/>
          <w:szCs w:val="21"/>
          <w:u w:val="single"/>
        </w:rPr>
        <w:t>（填写“项目名称”）</w:t>
      </w:r>
      <w:r>
        <w:rPr>
          <w:rFonts w:hint="eastAsia" w:ascii="宋体" w:hAnsi="宋体" w:eastAsia="宋体" w:cs="宋体"/>
          <w:sz w:val="21"/>
          <w:szCs w:val="21"/>
        </w:rPr>
        <w:t>项目采购活动：</w:t>
      </w:r>
    </w:p>
    <w:p w14:paraId="03D8C4EE">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）提供本投标人制造的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w:t>
      </w:r>
    </w:p>
    <w:p w14:paraId="64772A9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）由本投标人承担的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工程，</w:t>
      </w:r>
    </w:p>
    <w:p w14:paraId="3488D80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）由本投标人提供的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服务；或</w:t>
      </w:r>
    </w:p>
    <w:p w14:paraId="251033F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）提供其他残疾人福利性单位制造的</w:t>
      </w:r>
      <w:r>
        <w:rPr>
          <w:rFonts w:hint="eastAsia" w:ascii="宋体" w:hAnsi="宋体" w:eastAsia="宋体" w:cs="宋体"/>
          <w:sz w:val="21"/>
          <w:szCs w:val="21"/>
          <w:u w:val="single"/>
        </w:rPr>
        <w:t>（填写“所投合同包、品目号”）</w:t>
      </w:r>
      <w:r>
        <w:rPr>
          <w:rFonts w:hint="eastAsia" w:ascii="宋体" w:hAnsi="宋体" w:eastAsia="宋体" w:cs="宋体"/>
          <w:sz w:val="21"/>
          <w:szCs w:val="21"/>
        </w:rPr>
        <w:t>货物（不包括使用非残疾人福利性单位注册商标的货物）。</w:t>
      </w:r>
    </w:p>
    <w:p w14:paraId="56B5554D">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本投标人对上述声明的真实性负责。如有虚假，将依法承担相应责任。</w:t>
      </w:r>
    </w:p>
    <w:p w14:paraId="3E82EEEB">
      <w:pPr>
        <w:pStyle w:val="5"/>
        <w:keepNext w:val="0"/>
        <w:keepLines w:val="0"/>
        <w:widowControl/>
        <w:suppressLineNumbers w:val="0"/>
        <w:spacing w:before="0" w:beforeAutospacing="0" w:after="150" w:afterAutospacing="0"/>
        <w:ind w:left="0" w:right="0" w:firstLine="420"/>
      </w:pPr>
      <w:r>
        <w:rPr>
          <w:rFonts w:hint="default" w:ascii="Calibri" w:hAnsi="Calibri" w:cs="Calibri"/>
          <w:sz w:val="21"/>
          <w:szCs w:val="21"/>
        </w:rPr>
        <w:t> </w:t>
      </w:r>
    </w:p>
    <w:p w14:paraId="40C6ABB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FCBF85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1、请投标人按照实际情况编制填写本声明函，并在相应的（）中打“√”。</w:t>
      </w:r>
    </w:p>
    <w:p w14:paraId="0EB69B3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2、纸质投标文件正本中的本声明函（若有）应为原件。</w:t>
      </w:r>
    </w:p>
    <w:p w14:paraId="32E7F87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3、若《残疾人福利性单位声明函》内容不真实，</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14:paraId="5A7B8DC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4、符合财政部、民政部、中国残联文件（财库</w:t>
      </w:r>
      <w:r>
        <w:rPr>
          <w:rFonts w:hint="default" w:ascii="Calibri" w:hAnsi="Calibri" w:eastAsia="宋体" w:cs="Calibri"/>
          <w:sz w:val="21"/>
          <w:szCs w:val="21"/>
        </w:rPr>
        <w:t>[2017]141</w:t>
      </w:r>
      <w:r>
        <w:rPr>
          <w:rFonts w:hint="eastAsia" w:ascii="宋体" w:hAnsi="宋体" w:eastAsia="宋体" w:cs="宋体"/>
          <w:sz w:val="21"/>
          <w:szCs w:val="21"/>
        </w:rPr>
        <w:t>号）规定的残疾人福利性单位提供本单位制造的货物、承担的工程或服务，或提供其他残疾人福利性单位制造的货物（不包括使用非残疾人福利性单位注册商标的货物）</w:t>
      </w:r>
      <w:r>
        <w:rPr>
          <w:rStyle w:val="8"/>
          <w:rFonts w:hint="eastAsia" w:ascii="宋体" w:hAnsi="宋体" w:eastAsia="宋体" w:cs="宋体"/>
          <w:b/>
          <w:sz w:val="21"/>
          <w:szCs w:val="21"/>
        </w:rPr>
        <w:t>可享受价格扣除。</w:t>
      </w:r>
    </w:p>
    <w:p w14:paraId="2F4E82A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7A0F935">
      <w:pPr>
        <w:pStyle w:val="5"/>
        <w:keepNext w:val="0"/>
        <w:keepLines w:val="0"/>
        <w:widowControl/>
        <w:suppressLineNumbers w:val="0"/>
        <w:spacing w:before="0" w:beforeAutospacing="0" w:after="150" w:afterAutospacing="0"/>
        <w:ind w:left="0" w:right="0"/>
      </w:pPr>
      <w:r>
        <w:rPr>
          <w:rFonts w:hint="default" w:ascii="Calibri" w:hAnsi="Calibri" w:cs="Calibri"/>
          <w:sz w:val="21"/>
          <w:szCs w:val="21"/>
        </w:rPr>
        <w:t> </w:t>
      </w:r>
    </w:p>
    <w:p w14:paraId="7060429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27DB9A3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6110595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87D8D2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14F4707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DABE2A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A92452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13F451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C3EA36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4B6D2C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0882A6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3505FD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3C140B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4AC632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9A338F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08A0FAA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2B9DA9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3EB930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C9D3A5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1479F6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22B8E9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1692EC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12C116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950A054">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7EA22D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B631D6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三-3招标文件规定的其他价格扣除证明材料（若有）</w:t>
      </w:r>
    </w:p>
    <w:p w14:paraId="50022DF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32288C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9A5053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7DE0D8F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10B67621">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8"/>
          <w:rFonts w:hint="eastAsia" w:ascii="宋体" w:hAnsi="宋体" w:eastAsia="宋体" w:cs="宋体"/>
          <w:b/>
          <w:sz w:val="21"/>
          <w:szCs w:val="21"/>
        </w:rPr>
        <w:t>“节能（非强制类）、环境标志产品价格扣除”及“小型、微型企业产品等价格扣除”</w:t>
      </w:r>
      <w:r>
        <w:rPr>
          <w:rFonts w:hint="eastAsia" w:ascii="宋体" w:hAnsi="宋体" w:eastAsia="宋体" w:cs="宋体"/>
          <w:sz w:val="21"/>
          <w:szCs w:val="21"/>
        </w:rPr>
        <w:t>外的其他价格扣除优惠，则投标人应按照招标文件要求提供相应证明材料。</w:t>
      </w:r>
    </w:p>
    <w:p w14:paraId="1B3AF0C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C2CD0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1A17B0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50D544E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634429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133045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E14EAB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4350A5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D61762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42B5DB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2B1F6B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25BB8B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7D85E0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048C302">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4484D1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2C4299BD">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6D2CE65">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56D7F20">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058185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F462E7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0776F9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217774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2892186">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四、招标文件规定的加分证明材料（若有）</w:t>
      </w:r>
    </w:p>
    <w:p w14:paraId="1CE4B3A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四-1优先类节能产品、环境标志产品加分证明材料（若有）</w:t>
      </w:r>
    </w:p>
    <w:p w14:paraId="7864A22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四-1-①优先类节能产品、环境标志产品统计表（加分适用，若有）</w:t>
      </w:r>
    </w:p>
    <w:p w14:paraId="220DA7E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招标编号：</w:t>
      </w:r>
      <w:r>
        <w:rPr>
          <w:rFonts w:hint="eastAsia" w:ascii="宋体" w:hAnsi="宋体" w:eastAsia="宋体" w:cs="宋体"/>
          <w:sz w:val="21"/>
          <w:szCs w:val="21"/>
          <w:u w:val="single"/>
        </w:rPr>
        <w:t>                   </w:t>
      </w:r>
    </w:p>
    <w:p w14:paraId="74891B65">
      <w:pPr>
        <w:pStyle w:val="5"/>
        <w:keepNext w:val="0"/>
        <w:keepLines w:val="0"/>
        <w:widowControl/>
        <w:suppressLineNumbers w:val="0"/>
        <w:spacing w:before="0" w:beforeAutospacing="0" w:after="150" w:afterAutospacing="0"/>
        <w:ind w:left="0" w:right="0"/>
        <w:jc w:val="right"/>
      </w:pPr>
      <w:r>
        <w:rPr>
          <w:rFonts w:hint="eastAsia" w:ascii="宋体" w:hAnsi="宋体" w:eastAsia="宋体" w:cs="宋体"/>
          <w:sz w:val="21"/>
          <w:szCs w:val="21"/>
        </w:rPr>
        <w:t>货币及单位：人民币元</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215"/>
        <w:gridCol w:w="1215"/>
        <w:gridCol w:w="1215"/>
        <w:gridCol w:w="1215"/>
        <w:gridCol w:w="1215"/>
        <w:gridCol w:w="1215"/>
        <w:gridCol w:w="1230"/>
      </w:tblGrid>
      <w:tr w14:paraId="373F9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46E9CCEE">
            <w:pPr>
              <w:keepNext w:val="0"/>
              <w:keepLines w:val="0"/>
              <w:widowControl/>
              <w:suppressLineNumbers w:val="0"/>
              <w:jc w:val="left"/>
            </w:pPr>
          </w:p>
        </w:tc>
        <w:tc>
          <w:tcPr>
            <w:tcW w:w="7305" w:type="dxa"/>
            <w:gridSpan w:val="6"/>
            <w:tcBorders>
              <w:tl2br w:val="nil"/>
              <w:tr2bl w:val="nil"/>
            </w:tcBorders>
            <w:shd w:val="clear" w:color="auto" w:fill="auto"/>
            <w:tcMar>
              <w:top w:w="0" w:type="dxa"/>
              <w:left w:w="105" w:type="dxa"/>
              <w:bottom w:w="0" w:type="dxa"/>
              <w:right w:w="105" w:type="dxa"/>
            </w:tcMar>
            <w:vAlign w:val="center"/>
          </w:tcPr>
          <w:p w14:paraId="0235C3F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本合同包内属于节能、环境标志产品的情况</w:t>
            </w:r>
          </w:p>
        </w:tc>
      </w:tr>
      <w:tr w14:paraId="1094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360C4FC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1215" w:type="dxa"/>
            <w:tcBorders>
              <w:tl2br w:val="nil"/>
              <w:tr2bl w:val="nil"/>
            </w:tcBorders>
            <w:shd w:val="clear" w:color="auto" w:fill="auto"/>
            <w:tcMar>
              <w:top w:w="0" w:type="dxa"/>
              <w:left w:w="105" w:type="dxa"/>
              <w:bottom w:w="0" w:type="dxa"/>
              <w:right w:w="105" w:type="dxa"/>
            </w:tcMar>
            <w:vAlign w:val="center"/>
          </w:tcPr>
          <w:p w14:paraId="688E47A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215" w:type="dxa"/>
            <w:tcBorders>
              <w:tl2br w:val="nil"/>
              <w:tr2bl w:val="nil"/>
            </w:tcBorders>
            <w:shd w:val="clear" w:color="auto" w:fill="auto"/>
            <w:tcMar>
              <w:top w:w="0" w:type="dxa"/>
              <w:left w:w="105" w:type="dxa"/>
              <w:bottom w:w="0" w:type="dxa"/>
              <w:right w:w="105" w:type="dxa"/>
            </w:tcMar>
            <w:vAlign w:val="center"/>
          </w:tcPr>
          <w:p w14:paraId="3F9A20E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货物名称</w:t>
            </w:r>
          </w:p>
        </w:tc>
        <w:tc>
          <w:tcPr>
            <w:tcW w:w="1215" w:type="dxa"/>
            <w:tcBorders>
              <w:tl2br w:val="nil"/>
              <w:tr2bl w:val="nil"/>
            </w:tcBorders>
            <w:shd w:val="clear" w:color="auto" w:fill="auto"/>
            <w:tcMar>
              <w:top w:w="0" w:type="dxa"/>
              <w:left w:w="105" w:type="dxa"/>
              <w:bottom w:w="0" w:type="dxa"/>
              <w:right w:w="105" w:type="dxa"/>
            </w:tcMar>
            <w:vAlign w:val="center"/>
          </w:tcPr>
          <w:p w14:paraId="70D2FF3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单价</w:t>
            </w:r>
          </w:p>
          <w:p w14:paraId="019C8D7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15" w:type="dxa"/>
            <w:tcBorders>
              <w:tl2br w:val="nil"/>
              <w:tr2bl w:val="nil"/>
            </w:tcBorders>
            <w:shd w:val="clear" w:color="auto" w:fill="auto"/>
            <w:tcMar>
              <w:top w:w="0" w:type="dxa"/>
              <w:left w:w="105" w:type="dxa"/>
              <w:bottom w:w="0" w:type="dxa"/>
              <w:right w:w="105" w:type="dxa"/>
            </w:tcMar>
            <w:vAlign w:val="center"/>
          </w:tcPr>
          <w:p w14:paraId="589A6D6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215" w:type="dxa"/>
            <w:tcBorders>
              <w:tl2br w:val="nil"/>
              <w:tr2bl w:val="nil"/>
            </w:tcBorders>
            <w:shd w:val="clear" w:color="auto" w:fill="auto"/>
            <w:tcMar>
              <w:top w:w="0" w:type="dxa"/>
              <w:left w:w="105" w:type="dxa"/>
              <w:bottom w:w="0" w:type="dxa"/>
              <w:right w:w="105" w:type="dxa"/>
            </w:tcMar>
            <w:vAlign w:val="center"/>
          </w:tcPr>
          <w:p w14:paraId="52D83D8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总价</w:t>
            </w:r>
          </w:p>
          <w:p w14:paraId="3B49627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（现场）</w:t>
            </w:r>
          </w:p>
        </w:tc>
        <w:tc>
          <w:tcPr>
            <w:tcW w:w="1230" w:type="dxa"/>
            <w:tcBorders>
              <w:tl2br w:val="nil"/>
              <w:tr2bl w:val="nil"/>
            </w:tcBorders>
            <w:shd w:val="clear" w:color="auto" w:fill="auto"/>
            <w:tcMar>
              <w:top w:w="0" w:type="dxa"/>
              <w:left w:w="105" w:type="dxa"/>
              <w:bottom w:w="0" w:type="dxa"/>
              <w:right w:w="105" w:type="dxa"/>
            </w:tcMar>
            <w:vAlign w:val="center"/>
          </w:tcPr>
          <w:p w14:paraId="24506B2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认证种类</w:t>
            </w:r>
          </w:p>
        </w:tc>
      </w:tr>
      <w:tr w14:paraId="5822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5" w:type="dxa"/>
            <w:vMerge w:val="restart"/>
            <w:tcBorders>
              <w:tl2br w:val="nil"/>
              <w:tr2bl w:val="nil"/>
            </w:tcBorders>
            <w:shd w:val="clear" w:color="auto" w:fill="auto"/>
            <w:tcMar>
              <w:top w:w="0" w:type="dxa"/>
              <w:left w:w="105" w:type="dxa"/>
              <w:bottom w:w="0" w:type="dxa"/>
              <w:right w:w="105" w:type="dxa"/>
            </w:tcMar>
            <w:vAlign w:val="center"/>
          </w:tcPr>
          <w:p w14:paraId="498CBD80">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6CE2E87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215" w:type="dxa"/>
            <w:tcBorders>
              <w:tl2br w:val="nil"/>
              <w:tr2bl w:val="nil"/>
            </w:tcBorders>
            <w:shd w:val="clear" w:color="auto" w:fill="auto"/>
            <w:tcMar>
              <w:top w:w="0" w:type="dxa"/>
              <w:left w:w="105" w:type="dxa"/>
              <w:bottom w:w="0" w:type="dxa"/>
              <w:right w:w="105" w:type="dxa"/>
            </w:tcMar>
            <w:vAlign w:val="center"/>
          </w:tcPr>
          <w:p w14:paraId="08103FC7">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34065058">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2B49928A">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045EB574">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14:paraId="3562E065">
            <w:pPr>
              <w:keepNext w:val="0"/>
              <w:keepLines w:val="0"/>
              <w:widowControl/>
              <w:suppressLineNumbers w:val="0"/>
              <w:jc w:val="left"/>
            </w:pPr>
          </w:p>
        </w:tc>
      </w:tr>
      <w:tr w14:paraId="43AC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5" w:type="dxa"/>
            <w:vMerge w:val="continue"/>
            <w:tcBorders>
              <w:tl2br w:val="nil"/>
              <w:tr2bl w:val="nil"/>
            </w:tcBorders>
            <w:shd w:val="clear" w:color="auto" w:fill="auto"/>
            <w:tcMar>
              <w:top w:w="0" w:type="dxa"/>
              <w:left w:w="105" w:type="dxa"/>
              <w:bottom w:w="0" w:type="dxa"/>
              <w:right w:w="105" w:type="dxa"/>
            </w:tcMar>
            <w:vAlign w:val="center"/>
          </w:tcPr>
          <w:p w14:paraId="5991D7FE">
            <w:pPr>
              <w:rPr>
                <w:rFonts w:hint="eastAsia" w:ascii="宋体"/>
                <w:sz w:val="24"/>
                <w:szCs w:val="24"/>
              </w:rPr>
            </w:pPr>
          </w:p>
        </w:tc>
        <w:tc>
          <w:tcPr>
            <w:tcW w:w="1215" w:type="dxa"/>
            <w:tcBorders>
              <w:tl2br w:val="nil"/>
              <w:tr2bl w:val="nil"/>
            </w:tcBorders>
            <w:shd w:val="clear" w:color="auto" w:fill="auto"/>
            <w:tcMar>
              <w:top w:w="0" w:type="dxa"/>
              <w:left w:w="105" w:type="dxa"/>
              <w:bottom w:w="0" w:type="dxa"/>
              <w:right w:w="105" w:type="dxa"/>
            </w:tcMar>
            <w:vAlign w:val="center"/>
          </w:tcPr>
          <w:p w14:paraId="01284F45">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215" w:type="dxa"/>
            <w:tcBorders>
              <w:tl2br w:val="nil"/>
              <w:tr2bl w:val="nil"/>
            </w:tcBorders>
            <w:shd w:val="clear" w:color="auto" w:fill="auto"/>
            <w:tcMar>
              <w:top w:w="0" w:type="dxa"/>
              <w:left w:w="105" w:type="dxa"/>
              <w:bottom w:w="0" w:type="dxa"/>
              <w:right w:w="105" w:type="dxa"/>
            </w:tcMar>
            <w:vAlign w:val="center"/>
          </w:tcPr>
          <w:p w14:paraId="2203CE77">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447CA55A">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34557FFE">
            <w:pPr>
              <w:keepNext w:val="0"/>
              <w:keepLines w:val="0"/>
              <w:widowControl/>
              <w:suppressLineNumbers w:val="0"/>
              <w:jc w:val="left"/>
            </w:pPr>
          </w:p>
        </w:tc>
        <w:tc>
          <w:tcPr>
            <w:tcW w:w="1215" w:type="dxa"/>
            <w:tcBorders>
              <w:tl2br w:val="nil"/>
              <w:tr2bl w:val="nil"/>
            </w:tcBorders>
            <w:shd w:val="clear" w:color="auto" w:fill="auto"/>
            <w:tcMar>
              <w:top w:w="0" w:type="dxa"/>
              <w:left w:w="105" w:type="dxa"/>
              <w:bottom w:w="0" w:type="dxa"/>
              <w:right w:w="105" w:type="dxa"/>
            </w:tcMar>
            <w:vAlign w:val="center"/>
          </w:tcPr>
          <w:p w14:paraId="08A9F08E">
            <w:pPr>
              <w:keepNext w:val="0"/>
              <w:keepLines w:val="0"/>
              <w:widowControl/>
              <w:suppressLineNumbers w:val="0"/>
              <w:jc w:val="left"/>
            </w:pPr>
          </w:p>
        </w:tc>
        <w:tc>
          <w:tcPr>
            <w:tcW w:w="1230" w:type="dxa"/>
            <w:tcBorders>
              <w:tl2br w:val="nil"/>
              <w:tr2bl w:val="nil"/>
            </w:tcBorders>
            <w:shd w:val="clear" w:color="auto" w:fill="auto"/>
            <w:tcMar>
              <w:top w:w="0" w:type="dxa"/>
              <w:left w:w="105" w:type="dxa"/>
              <w:bottom w:w="0" w:type="dxa"/>
              <w:right w:w="105" w:type="dxa"/>
            </w:tcMar>
            <w:vAlign w:val="center"/>
          </w:tcPr>
          <w:p w14:paraId="3D5AE8D6">
            <w:pPr>
              <w:keepNext w:val="0"/>
              <w:keepLines w:val="0"/>
              <w:widowControl/>
              <w:suppressLineNumbers w:val="0"/>
              <w:jc w:val="left"/>
            </w:pPr>
          </w:p>
        </w:tc>
      </w:tr>
      <w:tr w14:paraId="5C02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1215" w:type="dxa"/>
            <w:tcBorders>
              <w:tl2br w:val="nil"/>
              <w:tr2bl w:val="nil"/>
            </w:tcBorders>
            <w:shd w:val="clear" w:color="auto" w:fill="auto"/>
            <w:tcMar>
              <w:top w:w="0" w:type="dxa"/>
              <w:left w:w="105" w:type="dxa"/>
              <w:bottom w:w="0" w:type="dxa"/>
              <w:right w:w="105" w:type="dxa"/>
            </w:tcMar>
            <w:vAlign w:val="center"/>
          </w:tcPr>
          <w:p w14:paraId="455B0DB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c>
          <w:tcPr>
            <w:tcW w:w="7305" w:type="dxa"/>
            <w:gridSpan w:val="6"/>
            <w:tcBorders>
              <w:tl2br w:val="nil"/>
              <w:tr2bl w:val="nil"/>
            </w:tcBorders>
            <w:shd w:val="clear" w:color="auto" w:fill="auto"/>
            <w:tcMar>
              <w:top w:w="0" w:type="dxa"/>
              <w:left w:w="105" w:type="dxa"/>
              <w:bottom w:w="0" w:type="dxa"/>
              <w:right w:w="105" w:type="dxa"/>
            </w:tcMar>
            <w:vAlign w:val="top"/>
          </w:tcPr>
          <w:p w14:paraId="5C7762C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a.合同包内属于节能、环境标志产品的报价总金额：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14:paraId="1D64EA7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b.合同包投标总价（报价总金额）：</w:t>
            </w:r>
            <w:r>
              <w:rPr>
                <w:rFonts w:hint="eastAsia" w:ascii="宋体" w:hAnsi="宋体" w:eastAsia="宋体" w:cs="宋体"/>
                <w:sz w:val="21"/>
                <w:szCs w:val="21"/>
                <w:u w:val="single"/>
              </w:rPr>
              <w:t>              </w:t>
            </w:r>
            <w:r>
              <w:rPr>
                <w:rFonts w:hint="eastAsia" w:ascii="宋体" w:hAnsi="宋体" w:eastAsia="宋体" w:cs="宋体"/>
                <w:sz w:val="21"/>
                <w:szCs w:val="21"/>
              </w:rPr>
              <w:t>；</w:t>
            </w:r>
          </w:p>
          <w:p w14:paraId="498CEE5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c.“合同包内属于节能、环境标志产品的报价总金额”占“合同包投标总价（报价总金额）”的比例（以</w:t>
            </w:r>
            <w:r>
              <w:rPr>
                <w:rFonts w:hint="default" w:ascii="Calibri" w:hAnsi="Calibri" w:eastAsia="宋体" w:cs="Calibri"/>
                <w:sz w:val="21"/>
                <w:szCs w:val="21"/>
              </w:rPr>
              <w:t>%</w:t>
            </w:r>
            <w:r>
              <w:rPr>
                <w:rFonts w:hint="eastAsia" w:ascii="宋体" w:hAnsi="宋体" w:eastAsia="宋体" w:cs="宋体"/>
                <w:sz w:val="21"/>
                <w:szCs w:val="21"/>
              </w:rPr>
              <w:t>列示）：</w:t>
            </w:r>
            <w:r>
              <w:rPr>
                <w:rFonts w:hint="eastAsia" w:ascii="宋体" w:hAnsi="宋体" w:eastAsia="宋体" w:cs="宋体"/>
                <w:sz w:val="21"/>
                <w:szCs w:val="21"/>
                <w:u w:val="single"/>
              </w:rPr>
              <w:t>              </w:t>
            </w:r>
            <w:r>
              <w:rPr>
                <w:rFonts w:hint="eastAsia" w:ascii="宋体" w:hAnsi="宋体" w:eastAsia="宋体" w:cs="宋体"/>
                <w:sz w:val="21"/>
                <w:szCs w:val="21"/>
              </w:rPr>
              <w:t>。</w:t>
            </w:r>
          </w:p>
        </w:tc>
      </w:tr>
    </w:tbl>
    <w:p w14:paraId="369BE37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16FEF36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1、对节能、环境标志产品计算加分时，只依据投标文件</w:t>
      </w:r>
      <w:r>
        <w:rPr>
          <w:rStyle w:val="8"/>
          <w:rFonts w:hint="eastAsia" w:ascii="宋体" w:hAnsi="宋体" w:eastAsia="宋体" w:cs="宋体"/>
          <w:b/>
          <w:sz w:val="21"/>
          <w:szCs w:val="21"/>
        </w:rPr>
        <w:t>“四</w:t>
      </w:r>
      <w:r>
        <w:rPr>
          <w:rStyle w:val="8"/>
          <w:rFonts w:hint="default" w:ascii="Calibri" w:hAnsi="Calibri" w:eastAsia="宋体" w:cs="Calibri"/>
          <w:b/>
          <w:sz w:val="21"/>
          <w:szCs w:val="21"/>
        </w:rPr>
        <w:t>-1-</w:t>
      </w:r>
      <w:r>
        <w:rPr>
          <w:rStyle w:val="8"/>
          <w:rFonts w:hint="eastAsia" w:ascii="宋体" w:hAnsi="宋体" w:eastAsia="宋体" w:cs="宋体"/>
          <w:b/>
          <w:sz w:val="21"/>
          <w:szCs w:val="21"/>
        </w:rPr>
        <w:t>②优先类节能产品、环境标志产品加分证明材料（加分适用，若有）”。</w:t>
      </w:r>
    </w:p>
    <w:p w14:paraId="41B0658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2、本表以合同包为单位，不同合同包请分别填写；同一合同包请按照其品目号顺序分别填写。</w:t>
      </w:r>
    </w:p>
    <w:p w14:paraId="3553048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3、具体统计、计算：</w:t>
      </w:r>
    </w:p>
    <w:p w14:paraId="44E15D1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3.1</w:t>
      </w:r>
      <w:r>
        <w:rPr>
          <w:rFonts w:hint="default" w:ascii="Calibri" w:hAnsi="Calibri" w:cs="Calibri"/>
          <w:sz w:val="21"/>
          <w:szCs w:val="21"/>
        </w:rPr>
        <w:t> </w:t>
      </w:r>
      <w:r>
        <w:rPr>
          <w:rFonts w:hint="eastAsia" w:ascii="宋体" w:hAnsi="宋体" w:eastAsia="宋体" w:cs="宋体"/>
          <w:sz w:val="21"/>
          <w:szCs w:val="21"/>
        </w:rPr>
        <w:t>若节能、环境标志产品仅是构成投标产品的部件、组件或零件，则该投标产品不享受鼓励优惠政策。同一品目中各认证证书不重复计算加分。强制类节能产品不享受加分。</w:t>
      </w:r>
    </w:p>
    <w:p w14:paraId="4C4C0EF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3.2计算结果若除不尽，可四舍五入保留到小数点后两位。</w:t>
      </w:r>
    </w:p>
    <w:p w14:paraId="6CBABBE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3.3投标人应按照招标文件要求认真统计、计算，否则评标委员会不予认定。</w:t>
      </w:r>
    </w:p>
    <w:p w14:paraId="2B3F56D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3.4若无节能、环境标志产品，不填写本表，否则，</w:t>
      </w:r>
      <w:r>
        <w:rPr>
          <w:rStyle w:val="8"/>
          <w:rFonts w:hint="eastAsia" w:ascii="宋体" w:hAnsi="宋体" w:eastAsia="宋体" w:cs="宋体"/>
          <w:b/>
          <w:sz w:val="21"/>
          <w:szCs w:val="21"/>
        </w:rPr>
        <w:t>视为提供虚假材料</w:t>
      </w:r>
      <w:r>
        <w:rPr>
          <w:rFonts w:hint="eastAsia" w:ascii="宋体" w:hAnsi="宋体" w:eastAsia="宋体" w:cs="宋体"/>
          <w:sz w:val="21"/>
          <w:szCs w:val="21"/>
        </w:rPr>
        <w:t>。</w:t>
      </w:r>
    </w:p>
    <w:p w14:paraId="1F557CB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4、纸质投标文件正本中的本表（若有）应为原件。</w:t>
      </w:r>
    </w:p>
    <w:p w14:paraId="50E7BFC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6BC805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CEA338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51495C2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7509F01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181A02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 四-1-②优先类节能产品、环境标志产品证明材料（加分适用，若有）</w:t>
      </w:r>
    </w:p>
    <w:p w14:paraId="2DF37172">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66519C9C">
      <w:pPr>
        <w:pStyle w:val="5"/>
        <w:keepNext w:val="0"/>
        <w:keepLines w:val="0"/>
        <w:widowControl/>
        <w:suppressLineNumbers w:val="0"/>
        <w:spacing w:before="0" w:beforeAutospacing="0" w:after="150" w:afterAutospacing="0"/>
        <w:ind w:left="0" w:right="0"/>
      </w:pPr>
      <w:r>
        <w:rPr>
          <w:rStyle w:val="8"/>
          <w:rFonts w:hint="eastAsia" w:ascii="宋体" w:hAnsi="宋体" w:eastAsia="宋体" w:cs="宋体"/>
          <w:b/>
          <w:sz w:val="21"/>
          <w:szCs w:val="21"/>
        </w:rPr>
        <w:t> </w:t>
      </w:r>
    </w:p>
    <w:p w14:paraId="7099C31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576D87C5">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105FBCB6">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除招标文件另有规定外，投标人应按照招标文件第二章（表1）第</w:t>
      </w:r>
      <w:r>
        <w:rPr>
          <w:rFonts w:hint="default" w:ascii="Calibri" w:hAnsi="Calibri" w:eastAsia="宋体" w:cs="Calibri"/>
          <w:sz w:val="21"/>
          <w:szCs w:val="21"/>
        </w:rPr>
        <w:t>13</w:t>
      </w:r>
      <w:r>
        <w:rPr>
          <w:rFonts w:hint="eastAsia" w:ascii="宋体" w:hAnsi="宋体" w:eastAsia="宋体" w:cs="宋体"/>
          <w:sz w:val="21"/>
          <w:szCs w:val="21"/>
        </w:rPr>
        <w:t>项规定提供相应证明材料。</w:t>
      </w:r>
    </w:p>
    <w:p w14:paraId="1443B73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DF3365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00962111">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br w:type="textWrapping"/>
      </w:r>
      <w:r>
        <w:rPr>
          <w:rFonts w:hint="eastAsia" w:ascii="宋体" w:hAnsi="宋体" w:eastAsia="宋体" w:cs="宋体"/>
          <w:sz w:val="21"/>
          <w:szCs w:val="21"/>
        </w:rPr>
        <w:t>四</w:t>
      </w:r>
      <w:r>
        <w:rPr>
          <w:rStyle w:val="8"/>
          <w:rFonts w:hint="eastAsia" w:ascii="宋体" w:hAnsi="宋体" w:eastAsia="宋体" w:cs="宋体"/>
          <w:b/>
          <w:sz w:val="21"/>
          <w:szCs w:val="21"/>
        </w:rPr>
        <w:t>-2招标文件规定的其他加分证明材料（若有）</w:t>
      </w:r>
    </w:p>
    <w:p w14:paraId="4C73662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555277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E328E7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1DF5CD4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 </w:t>
      </w:r>
    </w:p>
    <w:p w14:paraId="65920104">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若投标人可享受招标文件规定的除</w:t>
      </w:r>
      <w:r>
        <w:rPr>
          <w:rStyle w:val="8"/>
          <w:rFonts w:hint="eastAsia" w:ascii="宋体" w:hAnsi="宋体" w:eastAsia="宋体" w:cs="宋体"/>
          <w:b/>
          <w:sz w:val="21"/>
          <w:szCs w:val="21"/>
        </w:rPr>
        <w:t>“优先类节能产品、环境标志产品加分”</w:t>
      </w:r>
      <w:r>
        <w:rPr>
          <w:rFonts w:hint="eastAsia" w:ascii="宋体" w:hAnsi="宋体" w:eastAsia="宋体" w:cs="宋体"/>
          <w:sz w:val="21"/>
          <w:szCs w:val="21"/>
        </w:rPr>
        <w:t>外的其他加分优惠，则投标人应按照招标文件要求提供相应证明材料。</w:t>
      </w:r>
    </w:p>
    <w:p w14:paraId="497C35E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155B3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87871A3">
      <w:pPr>
        <w:pStyle w:val="5"/>
        <w:keepNext w:val="0"/>
        <w:keepLines w:val="0"/>
        <w:widowControl/>
        <w:suppressLineNumbers w:val="0"/>
        <w:spacing w:before="0" w:beforeAutospacing="0" w:after="150" w:afterAutospacing="0"/>
        <w:ind w:left="0" w:right="0"/>
      </w:pPr>
    </w:p>
    <w:p w14:paraId="5096893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379542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F7F1F0">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55AA8CD">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4303BFC">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726FD744">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18011363">
      <w:pPr>
        <w:pStyle w:val="5"/>
        <w:keepNext w:val="0"/>
        <w:keepLines w:val="0"/>
        <w:widowControl/>
        <w:suppressLineNumbers w:val="0"/>
        <w:spacing w:before="0" w:beforeAutospacing="0" w:after="150" w:afterAutospacing="0"/>
        <w:ind w:left="0" w:right="0"/>
        <w:jc w:val="center"/>
        <w:rPr>
          <w:rStyle w:val="8"/>
          <w:rFonts w:hint="eastAsia" w:ascii="宋体" w:hAnsi="宋体" w:eastAsia="宋体" w:cs="宋体"/>
          <w:b/>
          <w:sz w:val="28"/>
          <w:szCs w:val="28"/>
        </w:rPr>
      </w:pPr>
    </w:p>
    <w:p w14:paraId="6396517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封面格式</w:t>
      </w:r>
    </w:p>
    <w:p w14:paraId="4378B209">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765BD4DA">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006080D6">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41778061">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福建省政府采购投标文件</w:t>
      </w:r>
    </w:p>
    <w:p w14:paraId="4296BE2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48"/>
          <w:szCs w:val="48"/>
        </w:rPr>
        <w:t>（技术商务部分）</w:t>
      </w:r>
    </w:p>
    <w:p w14:paraId="3C807CC5">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6B04C173">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6"/>
          <w:szCs w:val="36"/>
          <w:u w:val="single"/>
        </w:rPr>
        <w:t>（填写正本或副本）</w:t>
      </w:r>
    </w:p>
    <w:p w14:paraId="11646154">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7624ABE1">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项目名称：</w:t>
      </w:r>
      <w:r>
        <w:rPr>
          <w:rStyle w:val="8"/>
          <w:rFonts w:hint="eastAsia" w:ascii="宋体" w:hAnsi="宋体" w:eastAsia="宋体" w:cs="宋体"/>
          <w:b/>
          <w:sz w:val="31"/>
          <w:szCs w:val="31"/>
          <w:u w:val="single"/>
        </w:rPr>
        <w:t>（由投标人填写）</w:t>
      </w:r>
    </w:p>
    <w:p w14:paraId="723D990E">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备案编号：</w:t>
      </w:r>
      <w:r>
        <w:rPr>
          <w:rStyle w:val="8"/>
          <w:rFonts w:hint="eastAsia" w:ascii="宋体" w:hAnsi="宋体" w:eastAsia="宋体" w:cs="宋体"/>
          <w:b/>
          <w:sz w:val="31"/>
          <w:szCs w:val="31"/>
          <w:u w:val="single"/>
        </w:rPr>
        <w:t>（由投标人填写）</w:t>
      </w:r>
    </w:p>
    <w:p w14:paraId="5D145BF9">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招标编号：</w:t>
      </w:r>
      <w:r>
        <w:rPr>
          <w:rStyle w:val="8"/>
          <w:rFonts w:hint="eastAsia" w:ascii="宋体" w:hAnsi="宋体" w:eastAsia="宋体" w:cs="宋体"/>
          <w:b/>
          <w:sz w:val="31"/>
          <w:szCs w:val="31"/>
          <w:u w:val="single"/>
        </w:rPr>
        <w:t>（由投标人填写）</w:t>
      </w:r>
    </w:p>
    <w:p w14:paraId="2240A3D4">
      <w:pPr>
        <w:pStyle w:val="5"/>
        <w:keepNext w:val="0"/>
        <w:keepLines w:val="0"/>
        <w:widowControl/>
        <w:suppressLineNumbers w:val="0"/>
        <w:spacing w:before="0" w:beforeAutospacing="0" w:after="150" w:afterAutospacing="0"/>
        <w:ind w:left="0" w:right="0" w:firstLine="1920"/>
      </w:pPr>
      <w:r>
        <w:rPr>
          <w:rStyle w:val="8"/>
          <w:rFonts w:hint="eastAsia" w:ascii="宋体" w:hAnsi="宋体" w:eastAsia="宋体" w:cs="宋体"/>
          <w:b/>
          <w:sz w:val="31"/>
          <w:szCs w:val="31"/>
        </w:rPr>
        <w:t>所投合同包：</w:t>
      </w:r>
      <w:r>
        <w:rPr>
          <w:rStyle w:val="8"/>
          <w:rFonts w:hint="eastAsia" w:ascii="宋体" w:hAnsi="宋体" w:eastAsia="宋体" w:cs="宋体"/>
          <w:b/>
          <w:sz w:val="31"/>
          <w:szCs w:val="31"/>
          <w:u w:val="single"/>
        </w:rPr>
        <w:t>（由投标人填写）</w:t>
      </w:r>
    </w:p>
    <w:p w14:paraId="685CCB1A">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77701328">
      <w:pPr>
        <w:pStyle w:val="5"/>
        <w:keepNext w:val="0"/>
        <w:keepLines w:val="0"/>
        <w:widowControl/>
        <w:suppressLineNumbers w:val="0"/>
        <w:spacing w:before="0" w:beforeAutospacing="0" w:after="150" w:afterAutospacing="0"/>
        <w:ind w:left="0" w:right="0"/>
      </w:pPr>
      <w:r>
        <w:rPr>
          <w:rFonts w:hint="eastAsia" w:ascii="宋体" w:hAnsi="宋体" w:eastAsia="宋体" w:cs="宋体"/>
          <w:sz w:val="36"/>
          <w:szCs w:val="36"/>
        </w:rPr>
        <w:t> </w:t>
      </w:r>
    </w:p>
    <w:p w14:paraId="21780CD7">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rPr>
        <w:t>投标人：</w:t>
      </w:r>
      <w:r>
        <w:rPr>
          <w:rStyle w:val="8"/>
          <w:rFonts w:hint="eastAsia" w:ascii="宋体" w:hAnsi="宋体" w:eastAsia="宋体" w:cs="宋体"/>
          <w:b/>
          <w:sz w:val="31"/>
          <w:szCs w:val="31"/>
          <w:u w:val="single"/>
        </w:rPr>
        <w:t>（填写“全称”）</w:t>
      </w:r>
    </w:p>
    <w:p w14:paraId="1D8D3E4A">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年</w:t>
      </w:r>
      <w:r>
        <w:rPr>
          <w:rStyle w:val="8"/>
          <w:rFonts w:hint="eastAsia" w:ascii="宋体" w:hAnsi="宋体" w:eastAsia="宋体" w:cs="宋体"/>
          <w:b/>
          <w:sz w:val="31"/>
          <w:szCs w:val="31"/>
          <w:u w:val="single"/>
        </w:rPr>
        <w:t>（由投标人填写）</w:t>
      </w:r>
      <w:r>
        <w:rPr>
          <w:rStyle w:val="8"/>
          <w:rFonts w:hint="eastAsia" w:ascii="宋体" w:hAnsi="宋体" w:eastAsia="宋体" w:cs="宋体"/>
          <w:b/>
          <w:sz w:val="31"/>
          <w:szCs w:val="31"/>
        </w:rPr>
        <w:t>月</w:t>
      </w:r>
    </w:p>
    <w:p w14:paraId="551D57D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B6DF247">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3E82193">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8"/>
          <w:szCs w:val="28"/>
        </w:rPr>
        <w:t>索引</w:t>
      </w:r>
    </w:p>
    <w:p w14:paraId="11BEF4A0">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一、标的说明一览表</w:t>
      </w:r>
    </w:p>
    <w:p w14:paraId="47564D8A">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二、技术和服务要求响应表</w:t>
      </w:r>
    </w:p>
    <w:p w14:paraId="43EBEF5A">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三、商务条件响应表</w:t>
      </w:r>
    </w:p>
    <w:p w14:paraId="0BEC65BB">
      <w:pPr>
        <w:pStyle w:val="5"/>
        <w:keepNext w:val="0"/>
        <w:keepLines w:val="0"/>
        <w:widowControl/>
        <w:suppressLineNumbers w:val="0"/>
        <w:spacing w:before="0" w:beforeAutospacing="0" w:after="150" w:afterAutospacing="0"/>
        <w:ind w:left="0" w:right="0"/>
      </w:pPr>
      <w:r>
        <w:rPr>
          <w:rFonts w:hint="eastAsia" w:ascii="宋体" w:hAnsi="宋体" w:eastAsia="宋体" w:cs="宋体"/>
          <w:sz w:val="28"/>
          <w:szCs w:val="28"/>
        </w:rPr>
        <w:t>四、投标人提交的其他资料（若有）</w:t>
      </w:r>
    </w:p>
    <w:p w14:paraId="45C7F75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97E77E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871BE6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★注意</w:t>
      </w:r>
    </w:p>
    <w:p w14:paraId="5A83E488">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技术商务部分中不得出现报价部分的全部或部分的投标报价信息（或组成资料），否则</w:t>
      </w:r>
      <w:r>
        <w:rPr>
          <w:rStyle w:val="8"/>
          <w:rFonts w:hint="eastAsia" w:ascii="宋体" w:hAnsi="宋体" w:eastAsia="宋体" w:cs="宋体"/>
          <w:b/>
          <w:sz w:val="21"/>
          <w:szCs w:val="21"/>
        </w:rPr>
        <w:t>符合性审查不合格</w:t>
      </w:r>
      <w:r>
        <w:rPr>
          <w:rFonts w:hint="eastAsia" w:ascii="宋体" w:hAnsi="宋体" w:eastAsia="宋体" w:cs="宋体"/>
          <w:sz w:val="21"/>
          <w:szCs w:val="21"/>
        </w:rPr>
        <w:t>。</w:t>
      </w:r>
    </w:p>
    <w:p w14:paraId="1DCA9D79">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14:paraId="2DC220EC">
      <w:pPr>
        <w:pStyle w:val="5"/>
        <w:keepNext w:val="0"/>
        <w:keepLines w:val="0"/>
        <w:widowControl/>
        <w:suppressLineNumbers w:val="0"/>
        <w:spacing w:before="0" w:beforeAutospacing="0" w:after="150" w:afterAutospacing="0"/>
        <w:ind w:left="0" w:right="0" w:firstLine="420"/>
      </w:pPr>
      <w:r>
        <w:rPr>
          <w:rFonts w:hint="eastAsia" w:ascii="宋体" w:hAnsi="宋体" w:eastAsia="宋体" w:cs="宋体"/>
          <w:sz w:val="21"/>
          <w:szCs w:val="21"/>
        </w:rPr>
        <w:t> </w:t>
      </w:r>
    </w:p>
    <w:p w14:paraId="6281323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59C4AB39">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2CF7E6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4D1A5DA">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39EC37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346809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E4656A1">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79F340A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183A7C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DF9EC6E">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48BE791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BD3830B">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328D9297">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0652DAC">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1B60CD5">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一、标的说明一览表</w:t>
      </w:r>
    </w:p>
    <w:p w14:paraId="4F14F52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D9D3D8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59"/>
        <w:gridCol w:w="855"/>
        <w:gridCol w:w="1695"/>
        <w:gridCol w:w="855"/>
        <w:gridCol w:w="1140"/>
        <w:gridCol w:w="1140"/>
        <w:gridCol w:w="1876"/>
      </w:tblGrid>
      <w:tr w14:paraId="3AB81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59" w:type="dxa"/>
            <w:tcBorders>
              <w:tl2br w:val="nil"/>
              <w:tr2bl w:val="nil"/>
            </w:tcBorders>
            <w:shd w:val="clear" w:color="auto" w:fill="auto"/>
            <w:tcMar>
              <w:top w:w="0" w:type="dxa"/>
              <w:left w:w="105" w:type="dxa"/>
              <w:bottom w:w="0" w:type="dxa"/>
              <w:right w:w="105" w:type="dxa"/>
            </w:tcMar>
            <w:vAlign w:val="center"/>
          </w:tcPr>
          <w:p w14:paraId="53B33CCC">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l2br w:val="nil"/>
              <w:tr2bl w:val="nil"/>
            </w:tcBorders>
            <w:shd w:val="clear" w:color="auto" w:fill="auto"/>
            <w:tcMar>
              <w:top w:w="0" w:type="dxa"/>
              <w:left w:w="105" w:type="dxa"/>
              <w:bottom w:w="0" w:type="dxa"/>
              <w:right w:w="105" w:type="dxa"/>
            </w:tcMar>
            <w:vAlign w:val="center"/>
          </w:tcPr>
          <w:p w14:paraId="6AFC0E6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1695" w:type="dxa"/>
            <w:tcBorders>
              <w:tl2br w:val="nil"/>
              <w:tr2bl w:val="nil"/>
            </w:tcBorders>
            <w:shd w:val="clear" w:color="auto" w:fill="auto"/>
            <w:tcMar>
              <w:top w:w="0" w:type="dxa"/>
              <w:left w:w="105" w:type="dxa"/>
              <w:bottom w:w="0" w:type="dxa"/>
              <w:right w:w="105" w:type="dxa"/>
            </w:tcMar>
            <w:vAlign w:val="center"/>
          </w:tcPr>
          <w:p w14:paraId="1609FA74">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投标标的</w:t>
            </w:r>
          </w:p>
        </w:tc>
        <w:tc>
          <w:tcPr>
            <w:tcW w:w="855" w:type="dxa"/>
            <w:tcBorders>
              <w:tl2br w:val="nil"/>
              <w:tr2bl w:val="nil"/>
            </w:tcBorders>
            <w:shd w:val="clear" w:color="auto" w:fill="auto"/>
            <w:tcMar>
              <w:top w:w="0" w:type="dxa"/>
              <w:left w:w="105" w:type="dxa"/>
              <w:bottom w:w="0" w:type="dxa"/>
              <w:right w:w="105" w:type="dxa"/>
            </w:tcMar>
            <w:vAlign w:val="center"/>
          </w:tcPr>
          <w:p w14:paraId="7E86291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数量</w:t>
            </w:r>
          </w:p>
        </w:tc>
        <w:tc>
          <w:tcPr>
            <w:tcW w:w="1140" w:type="dxa"/>
            <w:tcBorders>
              <w:tl2br w:val="nil"/>
              <w:tr2bl w:val="nil"/>
            </w:tcBorders>
            <w:shd w:val="clear" w:color="auto" w:fill="auto"/>
            <w:tcMar>
              <w:top w:w="0" w:type="dxa"/>
              <w:left w:w="105" w:type="dxa"/>
              <w:bottom w:w="0" w:type="dxa"/>
              <w:right w:w="105" w:type="dxa"/>
            </w:tcMar>
            <w:vAlign w:val="center"/>
          </w:tcPr>
          <w:p w14:paraId="6A22F5F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规格</w:t>
            </w:r>
          </w:p>
        </w:tc>
        <w:tc>
          <w:tcPr>
            <w:tcW w:w="1140" w:type="dxa"/>
            <w:tcBorders>
              <w:tl2br w:val="nil"/>
              <w:tr2bl w:val="nil"/>
            </w:tcBorders>
            <w:shd w:val="clear" w:color="auto" w:fill="auto"/>
            <w:tcMar>
              <w:top w:w="0" w:type="dxa"/>
              <w:left w:w="105" w:type="dxa"/>
              <w:bottom w:w="0" w:type="dxa"/>
              <w:right w:w="105" w:type="dxa"/>
            </w:tcMar>
            <w:vAlign w:val="center"/>
          </w:tcPr>
          <w:p w14:paraId="243941A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来源地</w:t>
            </w:r>
          </w:p>
        </w:tc>
        <w:tc>
          <w:tcPr>
            <w:tcW w:w="1876" w:type="dxa"/>
            <w:tcBorders>
              <w:tl2br w:val="nil"/>
              <w:tr2bl w:val="nil"/>
            </w:tcBorders>
            <w:shd w:val="clear" w:color="auto" w:fill="auto"/>
            <w:tcMar>
              <w:top w:w="0" w:type="dxa"/>
              <w:left w:w="105" w:type="dxa"/>
              <w:bottom w:w="0" w:type="dxa"/>
              <w:right w:w="105" w:type="dxa"/>
            </w:tcMar>
            <w:vAlign w:val="center"/>
          </w:tcPr>
          <w:p w14:paraId="135785D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备注</w:t>
            </w:r>
          </w:p>
        </w:tc>
      </w:tr>
      <w:tr w14:paraId="3EFB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59" w:type="dxa"/>
            <w:vMerge w:val="restart"/>
            <w:tcBorders>
              <w:tl2br w:val="nil"/>
              <w:tr2bl w:val="nil"/>
            </w:tcBorders>
            <w:shd w:val="clear" w:color="auto" w:fill="auto"/>
            <w:tcMar>
              <w:top w:w="0" w:type="dxa"/>
              <w:left w:w="105" w:type="dxa"/>
              <w:bottom w:w="0" w:type="dxa"/>
              <w:right w:w="105" w:type="dxa"/>
            </w:tcMar>
            <w:vAlign w:val="center"/>
          </w:tcPr>
          <w:p w14:paraId="119E8C7D">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33A75E12">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1695" w:type="dxa"/>
            <w:tcBorders>
              <w:tl2br w:val="nil"/>
              <w:tr2bl w:val="nil"/>
            </w:tcBorders>
            <w:shd w:val="clear" w:color="auto" w:fill="auto"/>
            <w:tcMar>
              <w:top w:w="0" w:type="dxa"/>
              <w:left w:w="105" w:type="dxa"/>
              <w:bottom w:w="0" w:type="dxa"/>
              <w:right w:w="105" w:type="dxa"/>
            </w:tcMar>
            <w:vAlign w:val="top"/>
          </w:tcPr>
          <w:p w14:paraId="6F3D7173">
            <w:pPr>
              <w:keepNext w:val="0"/>
              <w:keepLines w:val="0"/>
              <w:widowControl/>
              <w:suppressLineNumbers w:val="0"/>
              <w:jc w:val="left"/>
            </w:pPr>
          </w:p>
        </w:tc>
        <w:tc>
          <w:tcPr>
            <w:tcW w:w="855" w:type="dxa"/>
            <w:tcBorders>
              <w:tl2br w:val="nil"/>
              <w:tr2bl w:val="nil"/>
            </w:tcBorders>
            <w:shd w:val="clear" w:color="auto" w:fill="auto"/>
            <w:tcMar>
              <w:top w:w="0" w:type="dxa"/>
              <w:left w:w="105" w:type="dxa"/>
              <w:bottom w:w="0" w:type="dxa"/>
              <w:right w:w="105" w:type="dxa"/>
            </w:tcMar>
            <w:vAlign w:val="top"/>
          </w:tcPr>
          <w:p w14:paraId="0FC9365B">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70C30A95">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2637AF1F">
            <w:pPr>
              <w:keepNext w:val="0"/>
              <w:keepLines w:val="0"/>
              <w:widowControl/>
              <w:suppressLineNumbers w:val="0"/>
              <w:jc w:val="left"/>
            </w:pPr>
          </w:p>
        </w:tc>
        <w:tc>
          <w:tcPr>
            <w:tcW w:w="1876" w:type="dxa"/>
            <w:tcBorders>
              <w:tl2br w:val="nil"/>
              <w:tr2bl w:val="nil"/>
            </w:tcBorders>
            <w:shd w:val="clear" w:color="auto" w:fill="auto"/>
            <w:tcMar>
              <w:top w:w="0" w:type="dxa"/>
              <w:left w:w="105" w:type="dxa"/>
              <w:bottom w:w="0" w:type="dxa"/>
              <w:right w:w="105" w:type="dxa"/>
            </w:tcMar>
            <w:vAlign w:val="top"/>
          </w:tcPr>
          <w:p w14:paraId="20E51778">
            <w:pPr>
              <w:keepNext w:val="0"/>
              <w:keepLines w:val="0"/>
              <w:widowControl/>
              <w:suppressLineNumbers w:val="0"/>
              <w:jc w:val="left"/>
            </w:pPr>
          </w:p>
        </w:tc>
      </w:tr>
      <w:tr w14:paraId="4DC8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59" w:type="dxa"/>
            <w:vMerge w:val="continue"/>
            <w:tcBorders>
              <w:tl2br w:val="nil"/>
              <w:tr2bl w:val="nil"/>
            </w:tcBorders>
            <w:shd w:val="clear" w:color="auto" w:fill="auto"/>
            <w:tcMar>
              <w:top w:w="0" w:type="dxa"/>
              <w:left w:w="105" w:type="dxa"/>
              <w:bottom w:w="0" w:type="dxa"/>
              <w:right w:w="105" w:type="dxa"/>
            </w:tcMar>
            <w:vAlign w:val="center"/>
          </w:tcPr>
          <w:p w14:paraId="6066286D">
            <w:pPr>
              <w:rPr>
                <w:rFonts w:hint="eastAsia" w:ascii="宋体"/>
                <w:sz w:val="24"/>
                <w:szCs w:val="24"/>
              </w:rPr>
            </w:pPr>
          </w:p>
        </w:tc>
        <w:tc>
          <w:tcPr>
            <w:tcW w:w="855" w:type="dxa"/>
            <w:tcBorders>
              <w:tl2br w:val="nil"/>
              <w:tr2bl w:val="nil"/>
            </w:tcBorders>
            <w:shd w:val="clear" w:color="auto" w:fill="auto"/>
            <w:tcMar>
              <w:top w:w="0" w:type="dxa"/>
              <w:left w:w="105" w:type="dxa"/>
              <w:bottom w:w="0" w:type="dxa"/>
              <w:right w:w="105" w:type="dxa"/>
            </w:tcMar>
            <w:vAlign w:val="center"/>
          </w:tcPr>
          <w:p w14:paraId="234D0E4B">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1695" w:type="dxa"/>
            <w:tcBorders>
              <w:tl2br w:val="nil"/>
              <w:tr2bl w:val="nil"/>
            </w:tcBorders>
            <w:shd w:val="clear" w:color="auto" w:fill="auto"/>
            <w:tcMar>
              <w:top w:w="0" w:type="dxa"/>
              <w:left w:w="105" w:type="dxa"/>
              <w:bottom w:w="0" w:type="dxa"/>
              <w:right w:w="105" w:type="dxa"/>
            </w:tcMar>
            <w:vAlign w:val="top"/>
          </w:tcPr>
          <w:p w14:paraId="41E650EB">
            <w:pPr>
              <w:keepNext w:val="0"/>
              <w:keepLines w:val="0"/>
              <w:widowControl/>
              <w:suppressLineNumbers w:val="0"/>
              <w:jc w:val="left"/>
            </w:pPr>
          </w:p>
        </w:tc>
        <w:tc>
          <w:tcPr>
            <w:tcW w:w="855" w:type="dxa"/>
            <w:tcBorders>
              <w:tl2br w:val="nil"/>
              <w:tr2bl w:val="nil"/>
            </w:tcBorders>
            <w:shd w:val="clear" w:color="auto" w:fill="auto"/>
            <w:tcMar>
              <w:top w:w="0" w:type="dxa"/>
              <w:left w:w="105" w:type="dxa"/>
              <w:bottom w:w="0" w:type="dxa"/>
              <w:right w:w="105" w:type="dxa"/>
            </w:tcMar>
            <w:vAlign w:val="top"/>
          </w:tcPr>
          <w:p w14:paraId="2001271D">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1D3C4561">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3CF98F44">
            <w:pPr>
              <w:keepNext w:val="0"/>
              <w:keepLines w:val="0"/>
              <w:widowControl/>
              <w:suppressLineNumbers w:val="0"/>
              <w:jc w:val="left"/>
            </w:pPr>
          </w:p>
        </w:tc>
        <w:tc>
          <w:tcPr>
            <w:tcW w:w="1876" w:type="dxa"/>
            <w:tcBorders>
              <w:tl2br w:val="nil"/>
              <w:tr2bl w:val="nil"/>
            </w:tcBorders>
            <w:shd w:val="clear" w:color="auto" w:fill="auto"/>
            <w:tcMar>
              <w:top w:w="0" w:type="dxa"/>
              <w:left w:w="105" w:type="dxa"/>
              <w:bottom w:w="0" w:type="dxa"/>
              <w:right w:w="105" w:type="dxa"/>
            </w:tcMar>
            <w:vAlign w:val="top"/>
          </w:tcPr>
          <w:p w14:paraId="628DD398">
            <w:pPr>
              <w:keepNext w:val="0"/>
              <w:keepLines w:val="0"/>
              <w:widowControl/>
              <w:suppressLineNumbers w:val="0"/>
              <w:jc w:val="left"/>
            </w:pPr>
          </w:p>
        </w:tc>
      </w:tr>
      <w:tr w14:paraId="78B1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59" w:type="dxa"/>
            <w:tcBorders>
              <w:tl2br w:val="nil"/>
              <w:tr2bl w:val="nil"/>
            </w:tcBorders>
            <w:shd w:val="clear" w:color="auto" w:fill="auto"/>
            <w:tcMar>
              <w:top w:w="0" w:type="dxa"/>
              <w:left w:w="105" w:type="dxa"/>
              <w:bottom w:w="0" w:type="dxa"/>
              <w:right w:w="105" w:type="dxa"/>
            </w:tcMar>
            <w:vAlign w:val="center"/>
          </w:tcPr>
          <w:p w14:paraId="6BEECE13">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5BDCB6CB">
            <w:pPr>
              <w:keepNext w:val="0"/>
              <w:keepLines w:val="0"/>
              <w:widowControl/>
              <w:suppressLineNumbers w:val="0"/>
              <w:jc w:val="left"/>
            </w:pPr>
          </w:p>
        </w:tc>
        <w:tc>
          <w:tcPr>
            <w:tcW w:w="1695" w:type="dxa"/>
            <w:tcBorders>
              <w:tl2br w:val="nil"/>
              <w:tr2bl w:val="nil"/>
            </w:tcBorders>
            <w:shd w:val="clear" w:color="auto" w:fill="auto"/>
            <w:tcMar>
              <w:top w:w="0" w:type="dxa"/>
              <w:left w:w="105" w:type="dxa"/>
              <w:bottom w:w="0" w:type="dxa"/>
              <w:right w:w="105" w:type="dxa"/>
            </w:tcMar>
            <w:vAlign w:val="top"/>
          </w:tcPr>
          <w:p w14:paraId="112E04E7">
            <w:pPr>
              <w:keepNext w:val="0"/>
              <w:keepLines w:val="0"/>
              <w:widowControl/>
              <w:suppressLineNumbers w:val="0"/>
              <w:jc w:val="left"/>
            </w:pPr>
          </w:p>
        </w:tc>
        <w:tc>
          <w:tcPr>
            <w:tcW w:w="855" w:type="dxa"/>
            <w:tcBorders>
              <w:tl2br w:val="nil"/>
              <w:tr2bl w:val="nil"/>
            </w:tcBorders>
            <w:shd w:val="clear" w:color="auto" w:fill="auto"/>
            <w:tcMar>
              <w:top w:w="0" w:type="dxa"/>
              <w:left w:w="105" w:type="dxa"/>
              <w:bottom w:w="0" w:type="dxa"/>
              <w:right w:w="105" w:type="dxa"/>
            </w:tcMar>
            <w:vAlign w:val="top"/>
          </w:tcPr>
          <w:p w14:paraId="125014F4">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71E5C2E3">
            <w:pPr>
              <w:keepNext w:val="0"/>
              <w:keepLines w:val="0"/>
              <w:widowControl/>
              <w:suppressLineNumbers w:val="0"/>
              <w:jc w:val="left"/>
            </w:pPr>
          </w:p>
        </w:tc>
        <w:tc>
          <w:tcPr>
            <w:tcW w:w="1140" w:type="dxa"/>
            <w:tcBorders>
              <w:tl2br w:val="nil"/>
              <w:tr2bl w:val="nil"/>
            </w:tcBorders>
            <w:shd w:val="clear" w:color="auto" w:fill="auto"/>
            <w:tcMar>
              <w:top w:w="0" w:type="dxa"/>
              <w:left w:w="105" w:type="dxa"/>
              <w:bottom w:w="0" w:type="dxa"/>
              <w:right w:w="105" w:type="dxa"/>
            </w:tcMar>
            <w:vAlign w:val="top"/>
          </w:tcPr>
          <w:p w14:paraId="7C96E521">
            <w:pPr>
              <w:keepNext w:val="0"/>
              <w:keepLines w:val="0"/>
              <w:widowControl/>
              <w:suppressLineNumbers w:val="0"/>
              <w:jc w:val="left"/>
            </w:pPr>
          </w:p>
        </w:tc>
        <w:tc>
          <w:tcPr>
            <w:tcW w:w="1876" w:type="dxa"/>
            <w:tcBorders>
              <w:tl2br w:val="nil"/>
              <w:tr2bl w:val="nil"/>
            </w:tcBorders>
            <w:shd w:val="clear" w:color="auto" w:fill="auto"/>
            <w:tcMar>
              <w:top w:w="0" w:type="dxa"/>
              <w:left w:w="105" w:type="dxa"/>
              <w:bottom w:w="0" w:type="dxa"/>
              <w:right w:w="105" w:type="dxa"/>
            </w:tcMar>
            <w:vAlign w:val="top"/>
          </w:tcPr>
          <w:p w14:paraId="29437051">
            <w:pPr>
              <w:keepNext w:val="0"/>
              <w:keepLines w:val="0"/>
              <w:widowControl/>
              <w:suppressLineNumbers w:val="0"/>
              <w:jc w:val="left"/>
            </w:pPr>
          </w:p>
        </w:tc>
      </w:tr>
    </w:tbl>
    <w:p w14:paraId="54A0DF1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430DE9E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78BAB72D">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1.1“合同包”、“品目号”、“投标标的”及“数量”应与招标文件《采购标的一览表》中的有关内容（“合同包”、“品目号”、“采购标的”及“数量”）保持一致。</w:t>
      </w:r>
    </w:p>
    <w:p w14:paraId="5695084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1.2“投标标的”为货物的：</w:t>
      </w:r>
      <w:r>
        <w:rPr>
          <w:rStyle w:val="8"/>
          <w:rFonts w:hint="eastAsia" w:ascii="宋体" w:hAnsi="宋体" w:eastAsia="宋体" w:cs="宋体"/>
          <w:b/>
          <w:sz w:val="21"/>
          <w:szCs w:val="21"/>
        </w:rPr>
        <w:t>“规格”</w:t>
      </w:r>
      <w:r>
        <w:rPr>
          <w:rFonts w:hint="eastAsia" w:ascii="宋体" w:hAnsi="宋体" w:eastAsia="宋体" w:cs="宋体"/>
          <w:sz w:val="21"/>
          <w:szCs w:val="21"/>
        </w:rPr>
        <w:t>项下应填写货物制造厂商赋予的品牌（属于节能、环保清单产品的货物，填写的品牌名称应与清单载明的品牌名称保持一致）及具体型号。</w:t>
      </w:r>
      <w:r>
        <w:rPr>
          <w:rStyle w:val="8"/>
          <w:rFonts w:hint="eastAsia" w:ascii="宋体" w:hAnsi="宋体" w:eastAsia="宋体" w:cs="宋体"/>
          <w:b/>
          <w:sz w:val="21"/>
          <w:szCs w:val="21"/>
        </w:rPr>
        <w:t>“来源地”</w:t>
      </w:r>
      <w:r>
        <w:rPr>
          <w:rFonts w:hint="eastAsia" w:ascii="宋体" w:hAnsi="宋体" w:eastAsia="宋体" w:cs="宋体"/>
          <w:sz w:val="21"/>
          <w:szCs w:val="21"/>
        </w:rPr>
        <w:t>应填写货物的原产地。</w:t>
      </w:r>
      <w:r>
        <w:rPr>
          <w:rStyle w:val="8"/>
          <w:rFonts w:hint="eastAsia" w:ascii="宋体" w:hAnsi="宋体" w:eastAsia="宋体" w:cs="宋体"/>
          <w:b/>
          <w:sz w:val="21"/>
          <w:szCs w:val="21"/>
        </w:rPr>
        <w:t>“备注”</w:t>
      </w:r>
      <w:r>
        <w:rPr>
          <w:rFonts w:hint="eastAsia" w:ascii="宋体" w:hAnsi="宋体" w:eastAsia="宋体" w:cs="宋体"/>
          <w:sz w:val="21"/>
          <w:szCs w:val="21"/>
        </w:rPr>
        <w:t>项下应填写货物的详细性能说明及供货范围清单（若有），其中供货范围清单包括但不限于：组成货物的主要件和关键件的名称、数量、原产地，专用工具（若有）的名称、数量、原产地，备品备件（若有）的名称、数量、原产地等。</w:t>
      </w:r>
    </w:p>
    <w:p w14:paraId="3907C0B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1.3“投标标的”为服务的：</w:t>
      </w:r>
      <w:r>
        <w:rPr>
          <w:rStyle w:val="8"/>
          <w:rFonts w:hint="eastAsia" w:ascii="宋体" w:hAnsi="宋体" w:eastAsia="宋体" w:cs="宋体"/>
          <w:b/>
          <w:sz w:val="21"/>
          <w:szCs w:val="21"/>
        </w:rPr>
        <w:t>“规格”</w:t>
      </w:r>
      <w:r>
        <w:rPr>
          <w:rFonts w:hint="eastAsia" w:ascii="宋体" w:hAnsi="宋体" w:eastAsia="宋体" w:cs="宋体"/>
          <w:sz w:val="21"/>
          <w:szCs w:val="21"/>
        </w:rPr>
        <w:t>项下应填写服务提供者提供的服务标准及品牌（若有）。</w:t>
      </w:r>
      <w:r>
        <w:rPr>
          <w:rStyle w:val="8"/>
          <w:rFonts w:hint="eastAsia" w:ascii="宋体" w:hAnsi="宋体" w:eastAsia="宋体" w:cs="宋体"/>
          <w:b/>
          <w:sz w:val="21"/>
          <w:szCs w:val="21"/>
        </w:rPr>
        <w:t>“来源地”</w:t>
      </w:r>
      <w:r>
        <w:rPr>
          <w:rFonts w:hint="eastAsia" w:ascii="宋体" w:hAnsi="宋体" w:eastAsia="宋体" w:cs="宋体"/>
          <w:sz w:val="21"/>
          <w:szCs w:val="21"/>
        </w:rPr>
        <w:t>应填写服务提供者的所在地。</w:t>
      </w:r>
      <w:r>
        <w:rPr>
          <w:rStyle w:val="8"/>
          <w:rFonts w:hint="eastAsia" w:ascii="宋体" w:hAnsi="宋体" w:eastAsia="宋体" w:cs="宋体"/>
          <w:b/>
          <w:sz w:val="21"/>
          <w:szCs w:val="21"/>
        </w:rPr>
        <w:t>“备注”</w:t>
      </w:r>
      <w:r>
        <w:rPr>
          <w:rFonts w:hint="eastAsia" w:ascii="宋体" w:hAnsi="宋体" w:eastAsia="宋体" w:cs="宋体"/>
          <w:sz w:val="21"/>
          <w:szCs w:val="21"/>
        </w:rPr>
        <w:t>项下应填写关于服务标准所涵盖的具体项目或内容的说明等。</w:t>
      </w:r>
    </w:p>
    <w:p w14:paraId="7F3B434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14:paraId="5930635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3、投标文件中涉及</w:t>
      </w:r>
      <w:r>
        <w:rPr>
          <w:rStyle w:val="8"/>
          <w:rFonts w:hint="eastAsia" w:ascii="宋体" w:hAnsi="宋体" w:eastAsia="宋体" w:cs="宋体"/>
          <w:b/>
          <w:sz w:val="21"/>
          <w:szCs w:val="21"/>
        </w:rPr>
        <w:t>“投标标的”、“数量”、“规格”、“来源地”</w:t>
      </w:r>
      <w:r>
        <w:rPr>
          <w:rFonts w:hint="eastAsia" w:ascii="宋体" w:hAnsi="宋体" w:eastAsia="宋体" w:cs="宋体"/>
          <w:sz w:val="21"/>
          <w:szCs w:val="21"/>
        </w:rPr>
        <w:t>的内容若不一致，</w:t>
      </w:r>
      <w:r>
        <w:rPr>
          <w:rStyle w:val="8"/>
          <w:rFonts w:hint="eastAsia" w:ascii="宋体" w:hAnsi="宋体" w:eastAsia="宋体" w:cs="宋体"/>
          <w:b/>
          <w:sz w:val="21"/>
          <w:szCs w:val="21"/>
        </w:rPr>
        <w:t>应以本表为准</w:t>
      </w:r>
      <w:r>
        <w:rPr>
          <w:rFonts w:hint="eastAsia" w:ascii="宋体" w:hAnsi="宋体" w:eastAsia="宋体" w:cs="宋体"/>
          <w:sz w:val="21"/>
          <w:szCs w:val="21"/>
        </w:rPr>
        <w:t>。</w:t>
      </w:r>
    </w:p>
    <w:p w14:paraId="4826660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4、纸质投标文件正本中的本表应为原件。</w:t>
      </w:r>
    </w:p>
    <w:p w14:paraId="600A8F2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FCAB51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B18516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16672EB9">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1C2326C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7FA3667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5F1601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452C1A6">
      <w:pPr>
        <w:pStyle w:val="5"/>
        <w:keepNext w:val="0"/>
        <w:keepLines w:val="0"/>
        <w:widowControl/>
        <w:suppressLineNumbers w:val="0"/>
        <w:spacing w:before="0" w:beforeAutospacing="0" w:after="150" w:afterAutospacing="0"/>
        <w:ind w:left="0" w:right="0"/>
        <w:jc w:val="center"/>
        <w:rPr>
          <w:rStyle w:val="8"/>
          <w:rFonts w:hint="default" w:ascii="Calibri" w:hAnsi="Calibri" w:cs="Calibri"/>
          <w:b/>
          <w:sz w:val="21"/>
          <w:szCs w:val="21"/>
        </w:rPr>
      </w:pPr>
      <w:r>
        <w:rPr>
          <w:rStyle w:val="8"/>
          <w:rFonts w:hint="default" w:ascii="Calibri" w:hAnsi="Calibri" w:cs="Calibri"/>
          <w:b/>
          <w:sz w:val="21"/>
          <w:szCs w:val="21"/>
        </w:rPr>
        <w:br w:type="textWrapping"/>
      </w:r>
    </w:p>
    <w:p w14:paraId="11E54CE0">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二、技术和服务要求响应表</w:t>
      </w:r>
    </w:p>
    <w:p w14:paraId="6245B81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F785EC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60"/>
        <w:gridCol w:w="855"/>
        <w:gridCol w:w="2970"/>
        <w:gridCol w:w="1845"/>
        <w:gridCol w:w="1890"/>
      </w:tblGrid>
      <w:tr w14:paraId="6204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55" w:hRule="atLeast"/>
        </w:trPr>
        <w:tc>
          <w:tcPr>
            <w:tcW w:w="960" w:type="dxa"/>
            <w:tcBorders>
              <w:tl2br w:val="nil"/>
              <w:tr2bl w:val="nil"/>
            </w:tcBorders>
            <w:shd w:val="clear" w:color="auto" w:fill="auto"/>
            <w:tcMar>
              <w:top w:w="0" w:type="dxa"/>
              <w:left w:w="105" w:type="dxa"/>
              <w:bottom w:w="0" w:type="dxa"/>
              <w:right w:w="105" w:type="dxa"/>
            </w:tcMar>
            <w:vAlign w:val="center"/>
          </w:tcPr>
          <w:p w14:paraId="37754B9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l2br w:val="nil"/>
              <w:tr2bl w:val="nil"/>
            </w:tcBorders>
            <w:shd w:val="clear" w:color="auto" w:fill="auto"/>
            <w:tcMar>
              <w:top w:w="0" w:type="dxa"/>
              <w:left w:w="105" w:type="dxa"/>
              <w:bottom w:w="0" w:type="dxa"/>
              <w:right w:w="105" w:type="dxa"/>
            </w:tcMar>
            <w:vAlign w:val="center"/>
          </w:tcPr>
          <w:p w14:paraId="66FFAF4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l2br w:val="nil"/>
              <w:tr2bl w:val="nil"/>
            </w:tcBorders>
            <w:shd w:val="clear" w:color="auto" w:fill="auto"/>
            <w:tcMar>
              <w:top w:w="0" w:type="dxa"/>
              <w:left w:w="105" w:type="dxa"/>
              <w:bottom w:w="0" w:type="dxa"/>
              <w:right w:w="105" w:type="dxa"/>
            </w:tcMar>
            <w:vAlign w:val="center"/>
          </w:tcPr>
          <w:p w14:paraId="1E5758A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技术和服务要求</w:t>
            </w:r>
          </w:p>
        </w:tc>
        <w:tc>
          <w:tcPr>
            <w:tcW w:w="1845" w:type="dxa"/>
            <w:tcBorders>
              <w:tl2br w:val="nil"/>
              <w:tr2bl w:val="nil"/>
            </w:tcBorders>
            <w:shd w:val="clear" w:color="auto" w:fill="auto"/>
            <w:tcMar>
              <w:top w:w="0" w:type="dxa"/>
              <w:left w:w="105" w:type="dxa"/>
              <w:bottom w:w="0" w:type="dxa"/>
              <w:right w:w="105" w:type="dxa"/>
            </w:tcMar>
            <w:vAlign w:val="center"/>
          </w:tcPr>
          <w:p w14:paraId="4EC4DA1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l2br w:val="nil"/>
              <w:tr2bl w:val="nil"/>
            </w:tcBorders>
            <w:shd w:val="clear" w:color="auto" w:fill="auto"/>
            <w:tcMar>
              <w:top w:w="0" w:type="dxa"/>
              <w:left w:w="105" w:type="dxa"/>
              <w:bottom w:w="0" w:type="dxa"/>
              <w:right w:w="105" w:type="dxa"/>
            </w:tcMar>
            <w:vAlign w:val="center"/>
          </w:tcPr>
          <w:p w14:paraId="7E79A079">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14:paraId="3E09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0" w:type="dxa"/>
            <w:vMerge w:val="restart"/>
            <w:tcBorders>
              <w:tl2br w:val="nil"/>
              <w:tr2bl w:val="nil"/>
            </w:tcBorders>
            <w:shd w:val="clear" w:color="auto" w:fill="auto"/>
            <w:tcMar>
              <w:top w:w="0" w:type="dxa"/>
              <w:left w:w="105" w:type="dxa"/>
              <w:bottom w:w="0" w:type="dxa"/>
              <w:right w:w="105" w:type="dxa"/>
            </w:tcMar>
            <w:vAlign w:val="center"/>
          </w:tcPr>
          <w:p w14:paraId="6930A7B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017C73E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l2br w:val="nil"/>
              <w:tr2bl w:val="nil"/>
            </w:tcBorders>
            <w:shd w:val="clear" w:color="auto" w:fill="auto"/>
            <w:tcMar>
              <w:top w:w="0" w:type="dxa"/>
              <w:left w:w="105" w:type="dxa"/>
              <w:bottom w:w="0" w:type="dxa"/>
              <w:right w:w="105" w:type="dxa"/>
            </w:tcMar>
            <w:vAlign w:val="top"/>
          </w:tcPr>
          <w:p w14:paraId="05CDF600">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14:paraId="22ABB282">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14:paraId="3E6A4486">
            <w:pPr>
              <w:keepNext w:val="0"/>
              <w:keepLines w:val="0"/>
              <w:widowControl/>
              <w:suppressLineNumbers w:val="0"/>
              <w:jc w:val="left"/>
            </w:pPr>
          </w:p>
        </w:tc>
      </w:tr>
      <w:tr w14:paraId="4EEF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0" w:type="dxa"/>
            <w:vMerge w:val="continue"/>
            <w:tcBorders>
              <w:tl2br w:val="nil"/>
              <w:tr2bl w:val="nil"/>
            </w:tcBorders>
            <w:shd w:val="clear" w:color="auto" w:fill="auto"/>
            <w:tcMar>
              <w:top w:w="0" w:type="dxa"/>
              <w:left w:w="105" w:type="dxa"/>
              <w:bottom w:w="0" w:type="dxa"/>
              <w:right w:w="105" w:type="dxa"/>
            </w:tcMar>
            <w:vAlign w:val="center"/>
          </w:tcPr>
          <w:p w14:paraId="51B9CB1E">
            <w:pPr>
              <w:rPr>
                <w:rFonts w:hint="eastAsia" w:ascii="宋体"/>
                <w:sz w:val="24"/>
                <w:szCs w:val="24"/>
              </w:rPr>
            </w:pPr>
          </w:p>
        </w:tc>
        <w:tc>
          <w:tcPr>
            <w:tcW w:w="855" w:type="dxa"/>
            <w:tcBorders>
              <w:tl2br w:val="nil"/>
              <w:tr2bl w:val="nil"/>
            </w:tcBorders>
            <w:shd w:val="clear" w:color="auto" w:fill="auto"/>
            <w:tcMar>
              <w:top w:w="0" w:type="dxa"/>
              <w:left w:w="105" w:type="dxa"/>
              <w:bottom w:w="0" w:type="dxa"/>
              <w:right w:w="105" w:type="dxa"/>
            </w:tcMar>
            <w:vAlign w:val="center"/>
          </w:tcPr>
          <w:p w14:paraId="67FF30C6">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l2br w:val="nil"/>
              <w:tr2bl w:val="nil"/>
            </w:tcBorders>
            <w:shd w:val="clear" w:color="auto" w:fill="auto"/>
            <w:tcMar>
              <w:top w:w="0" w:type="dxa"/>
              <w:left w:w="105" w:type="dxa"/>
              <w:bottom w:w="0" w:type="dxa"/>
              <w:right w:w="105" w:type="dxa"/>
            </w:tcMar>
            <w:vAlign w:val="top"/>
          </w:tcPr>
          <w:p w14:paraId="00C33A28">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14:paraId="70E3D69A">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14:paraId="56DD74EB">
            <w:pPr>
              <w:keepNext w:val="0"/>
              <w:keepLines w:val="0"/>
              <w:widowControl/>
              <w:suppressLineNumbers w:val="0"/>
              <w:jc w:val="left"/>
            </w:pPr>
          </w:p>
        </w:tc>
      </w:tr>
      <w:tr w14:paraId="03943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0" w:type="dxa"/>
            <w:tcBorders>
              <w:tl2br w:val="nil"/>
              <w:tr2bl w:val="nil"/>
            </w:tcBorders>
            <w:shd w:val="clear" w:color="auto" w:fill="auto"/>
            <w:tcMar>
              <w:top w:w="0" w:type="dxa"/>
              <w:left w:w="105" w:type="dxa"/>
              <w:bottom w:w="0" w:type="dxa"/>
              <w:right w:w="105" w:type="dxa"/>
            </w:tcMar>
            <w:vAlign w:val="center"/>
          </w:tcPr>
          <w:p w14:paraId="3BCFD51C">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1684DAA4">
            <w:pPr>
              <w:keepNext w:val="0"/>
              <w:keepLines w:val="0"/>
              <w:widowControl/>
              <w:suppressLineNumbers w:val="0"/>
              <w:jc w:val="left"/>
            </w:pPr>
          </w:p>
        </w:tc>
        <w:tc>
          <w:tcPr>
            <w:tcW w:w="2970" w:type="dxa"/>
            <w:tcBorders>
              <w:tl2br w:val="nil"/>
              <w:tr2bl w:val="nil"/>
            </w:tcBorders>
            <w:shd w:val="clear" w:color="auto" w:fill="auto"/>
            <w:tcMar>
              <w:top w:w="0" w:type="dxa"/>
              <w:left w:w="105" w:type="dxa"/>
              <w:bottom w:w="0" w:type="dxa"/>
              <w:right w:w="105" w:type="dxa"/>
            </w:tcMar>
            <w:vAlign w:val="center"/>
          </w:tcPr>
          <w:p w14:paraId="63D7B06F">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center"/>
          </w:tcPr>
          <w:p w14:paraId="402766EA">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center"/>
          </w:tcPr>
          <w:p w14:paraId="34E6F560">
            <w:pPr>
              <w:keepNext w:val="0"/>
              <w:keepLines w:val="0"/>
              <w:widowControl/>
              <w:suppressLineNumbers w:val="0"/>
              <w:jc w:val="left"/>
            </w:pPr>
          </w:p>
        </w:tc>
      </w:tr>
    </w:tbl>
    <w:p w14:paraId="200303F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03032C7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7E9D61D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1.1“技术和服务要求”项下填写的内容应与招标文件第五章“技术和服务要求”的内容保持一致。</w:t>
      </w:r>
    </w:p>
    <w:p w14:paraId="5467188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1.2“投标响应”项下应填写具体的响应内容并与“技术和服务要求”项下填写的内容逐项对应；对“技术和服务要求”项下涉及“≥或＞”、“≤或＜”及某个区间值范围内的内容，应填写具体的数值。</w:t>
      </w:r>
    </w:p>
    <w:p w14:paraId="6B024D3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14:paraId="1FAACAD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    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14:paraId="79A7C65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14:paraId="769FE16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93FC1F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58272EA">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7733DB5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11CFE88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0D17026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3069EB0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B2F568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r>
        <w:rPr>
          <w:rFonts w:hint="default" w:ascii="Calibri" w:hAnsi="Calibri" w:cs="Calibri"/>
          <w:sz w:val="21"/>
          <w:szCs w:val="21"/>
        </w:rPr>
        <w:br w:type="textWrapping"/>
      </w:r>
    </w:p>
    <w:p w14:paraId="3F6CD0E8">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1DF03ABF">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45EF986">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5851E563">
      <w:pPr>
        <w:pStyle w:val="5"/>
        <w:keepNext w:val="0"/>
        <w:keepLines w:val="0"/>
        <w:widowControl/>
        <w:suppressLineNumbers w:val="0"/>
        <w:spacing w:before="0" w:beforeAutospacing="0" w:after="150" w:afterAutospacing="0"/>
        <w:ind w:left="0" w:right="0"/>
        <w:jc w:val="center"/>
        <w:rPr>
          <w:rFonts w:hint="default" w:ascii="Calibri" w:hAnsi="Calibri" w:cs="Calibri"/>
          <w:sz w:val="21"/>
          <w:szCs w:val="21"/>
        </w:rPr>
      </w:pPr>
    </w:p>
    <w:p w14:paraId="61A06898">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三、商务条件响应表</w:t>
      </w:r>
    </w:p>
    <w:p w14:paraId="6C6B48E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0051C9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招标编号：</w:t>
      </w:r>
      <w:r>
        <w:rPr>
          <w:rFonts w:hint="eastAsia" w:ascii="宋体" w:hAnsi="宋体" w:eastAsia="宋体" w:cs="宋体"/>
          <w:sz w:val="21"/>
          <w:szCs w:val="21"/>
          <w:u w:val="single"/>
        </w:rPr>
        <w:t>                   </w:t>
      </w:r>
    </w:p>
    <w:tbl>
      <w:tblPr>
        <w:tblStyle w:val="6"/>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960"/>
        <w:gridCol w:w="855"/>
        <w:gridCol w:w="2970"/>
        <w:gridCol w:w="1845"/>
        <w:gridCol w:w="1890"/>
      </w:tblGrid>
      <w:tr w14:paraId="75CB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c>
          <w:tcPr>
            <w:tcW w:w="960" w:type="dxa"/>
            <w:tcBorders>
              <w:tl2br w:val="nil"/>
              <w:tr2bl w:val="nil"/>
            </w:tcBorders>
            <w:shd w:val="clear" w:color="auto" w:fill="auto"/>
            <w:tcMar>
              <w:top w:w="0" w:type="dxa"/>
              <w:left w:w="105" w:type="dxa"/>
              <w:bottom w:w="0" w:type="dxa"/>
              <w:right w:w="105" w:type="dxa"/>
            </w:tcMar>
            <w:vAlign w:val="center"/>
          </w:tcPr>
          <w:p w14:paraId="4E5D64B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合同包</w:t>
            </w:r>
          </w:p>
        </w:tc>
        <w:tc>
          <w:tcPr>
            <w:tcW w:w="855" w:type="dxa"/>
            <w:tcBorders>
              <w:tl2br w:val="nil"/>
              <w:tr2bl w:val="nil"/>
            </w:tcBorders>
            <w:shd w:val="clear" w:color="auto" w:fill="auto"/>
            <w:tcMar>
              <w:top w:w="0" w:type="dxa"/>
              <w:left w:w="105" w:type="dxa"/>
              <w:bottom w:w="0" w:type="dxa"/>
              <w:right w:w="105" w:type="dxa"/>
            </w:tcMar>
            <w:vAlign w:val="center"/>
          </w:tcPr>
          <w:p w14:paraId="457FC83A">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品目号</w:t>
            </w:r>
          </w:p>
        </w:tc>
        <w:tc>
          <w:tcPr>
            <w:tcW w:w="2970" w:type="dxa"/>
            <w:tcBorders>
              <w:tl2br w:val="nil"/>
              <w:tr2bl w:val="nil"/>
            </w:tcBorders>
            <w:shd w:val="clear" w:color="auto" w:fill="auto"/>
            <w:tcMar>
              <w:top w:w="0" w:type="dxa"/>
              <w:left w:w="105" w:type="dxa"/>
              <w:bottom w:w="0" w:type="dxa"/>
              <w:right w:w="105" w:type="dxa"/>
            </w:tcMar>
            <w:vAlign w:val="center"/>
          </w:tcPr>
          <w:p w14:paraId="2D3148C1">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商务条件</w:t>
            </w:r>
          </w:p>
        </w:tc>
        <w:tc>
          <w:tcPr>
            <w:tcW w:w="1845" w:type="dxa"/>
            <w:tcBorders>
              <w:tl2br w:val="nil"/>
              <w:tr2bl w:val="nil"/>
            </w:tcBorders>
            <w:shd w:val="clear" w:color="auto" w:fill="auto"/>
            <w:tcMar>
              <w:top w:w="0" w:type="dxa"/>
              <w:left w:w="105" w:type="dxa"/>
              <w:bottom w:w="0" w:type="dxa"/>
              <w:right w:w="105" w:type="dxa"/>
            </w:tcMar>
            <w:vAlign w:val="center"/>
          </w:tcPr>
          <w:p w14:paraId="3080F5DE">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投标响应</w:t>
            </w:r>
          </w:p>
        </w:tc>
        <w:tc>
          <w:tcPr>
            <w:tcW w:w="1890" w:type="dxa"/>
            <w:tcBorders>
              <w:tl2br w:val="nil"/>
              <w:tr2bl w:val="nil"/>
            </w:tcBorders>
            <w:shd w:val="clear" w:color="auto" w:fill="auto"/>
            <w:tcMar>
              <w:top w:w="0" w:type="dxa"/>
              <w:left w:w="105" w:type="dxa"/>
              <w:bottom w:w="0" w:type="dxa"/>
              <w:right w:w="105" w:type="dxa"/>
            </w:tcMar>
            <w:vAlign w:val="center"/>
          </w:tcPr>
          <w:p w14:paraId="5C2069EB">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是否偏离及说明</w:t>
            </w:r>
          </w:p>
        </w:tc>
      </w:tr>
      <w:tr w14:paraId="61FC7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0" w:type="dxa"/>
            <w:vMerge w:val="restart"/>
            <w:tcBorders>
              <w:tl2br w:val="nil"/>
              <w:tr2bl w:val="nil"/>
            </w:tcBorders>
            <w:shd w:val="clear" w:color="auto" w:fill="auto"/>
            <w:tcMar>
              <w:top w:w="0" w:type="dxa"/>
              <w:left w:w="105" w:type="dxa"/>
              <w:bottom w:w="0" w:type="dxa"/>
              <w:right w:w="105" w:type="dxa"/>
            </w:tcMar>
            <w:vAlign w:val="center"/>
          </w:tcPr>
          <w:p w14:paraId="47E39BA8">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598F094F">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*-1</w:t>
            </w:r>
          </w:p>
        </w:tc>
        <w:tc>
          <w:tcPr>
            <w:tcW w:w="2970" w:type="dxa"/>
            <w:tcBorders>
              <w:tl2br w:val="nil"/>
              <w:tr2bl w:val="nil"/>
            </w:tcBorders>
            <w:shd w:val="clear" w:color="auto" w:fill="auto"/>
            <w:tcMar>
              <w:top w:w="0" w:type="dxa"/>
              <w:left w:w="105" w:type="dxa"/>
              <w:bottom w:w="0" w:type="dxa"/>
              <w:right w:w="105" w:type="dxa"/>
            </w:tcMar>
            <w:vAlign w:val="top"/>
          </w:tcPr>
          <w:p w14:paraId="76FF7B67">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14:paraId="15F7795E">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14:paraId="7FFF9EA4">
            <w:pPr>
              <w:keepNext w:val="0"/>
              <w:keepLines w:val="0"/>
              <w:widowControl/>
              <w:suppressLineNumbers w:val="0"/>
              <w:jc w:val="left"/>
            </w:pPr>
          </w:p>
        </w:tc>
      </w:tr>
      <w:tr w14:paraId="736A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0" w:type="dxa"/>
            <w:vMerge w:val="continue"/>
            <w:tcBorders>
              <w:tl2br w:val="nil"/>
              <w:tr2bl w:val="nil"/>
            </w:tcBorders>
            <w:shd w:val="clear" w:color="auto" w:fill="auto"/>
            <w:tcMar>
              <w:top w:w="0" w:type="dxa"/>
              <w:left w:w="105" w:type="dxa"/>
              <w:bottom w:w="0" w:type="dxa"/>
              <w:right w:w="105" w:type="dxa"/>
            </w:tcMar>
            <w:vAlign w:val="center"/>
          </w:tcPr>
          <w:p w14:paraId="2F45E7BF">
            <w:pPr>
              <w:rPr>
                <w:rFonts w:hint="eastAsia" w:ascii="宋体"/>
                <w:sz w:val="24"/>
                <w:szCs w:val="24"/>
              </w:rPr>
            </w:pPr>
          </w:p>
        </w:tc>
        <w:tc>
          <w:tcPr>
            <w:tcW w:w="855" w:type="dxa"/>
            <w:tcBorders>
              <w:tl2br w:val="nil"/>
              <w:tr2bl w:val="nil"/>
            </w:tcBorders>
            <w:shd w:val="clear" w:color="auto" w:fill="auto"/>
            <w:tcMar>
              <w:top w:w="0" w:type="dxa"/>
              <w:left w:w="105" w:type="dxa"/>
              <w:bottom w:w="0" w:type="dxa"/>
              <w:right w:w="105" w:type="dxa"/>
            </w:tcMar>
            <w:vAlign w:val="center"/>
          </w:tcPr>
          <w:p w14:paraId="2B6D49B9">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2970" w:type="dxa"/>
            <w:tcBorders>
              <w:tl2br w:val="nil"/>
              <w:tr2bl w:val="nil"/>
            </w:tcBorders>
            <w:shd w:val="clear" w:color="auto" w:fill="auto"/>
            <w:tcMar>
              <w:top w:w="0" w:type="dxa"/>
              <w:left w:w="105" w:type="dxa"/>
              <w:bottom w:w="0" w:type="dxa"/>
              <w:right w:w="105" w:type="dxa"/>
            </w:tcMar>
            <w:vAlign w:val="top"/>
          </w:tcPr>
          <w:p w14:paraId="179BDFFB">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top"/>
          </w:tcPr>
          <w:p w14:paraId="379D5343">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top"/>
          </w:tcPr>
          <w:p w14:paraId="606991F4">
            <w:pPr>
              <w:keepNext w:val="0"/>
              <w:keepLines w:val="0"/>
              <w:widowControl/>
              <w:suppressLineNumbers w:val="0"/>
              <w:jc w:val="left"/>
            </w:pPr>
          </w:p>
        </w:tc>
      </w:tr>
      <w:tr w14:paraId="7913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c>
          <w:tcPr>
            <w:tcW w:w="960" w:type="dxa"/>
            <w:tcBorders>
              <w:tl2br w:val="nil"/>
              <w:tr2bl w:val="nil"/>
            </w:tcBorders>
            <w:shd w:val="clear" w:color="auto" w:fill="auto"/>
            <w:tcMar>
              <w:top w:w="0" w:type="dxa"/>
              <w:left w:w="105" w:type="dxa"/>
              <w:bottom w:w="0" w:type="dxa"/>
              <w:right w:w="105" w:type="dxa"/>
            </w:tcMar>
            <w:vAlign w:val="center"/>
          </w:tcPr>
          <w:p w14:paraId="719E4641">
            <w:pPr>
              <w:pStyle w:val="5"/>
              <w:keepNext w:val="0"/>
              <w:keepLines w:val="0"/>
              <w:widowControl/>
              <w:suppressLineNumbers w:val="0"/>
              <w:spacing w:before="0" w:beforeAutospacing="0" w:after="150" w:afterAutospacing="0"/>
              <w:ind w:left="0" w:right="0"/>
              <w:jc w:val="center"/>
            </w:pPr>
            <w:r>
              <w:rPr>
                <w:rFonts w:hint="default" w:ascii="Calibri" w:hAnsi="Calibri" w:cs="Calibri"/>
                <w:sz w:val="21"/>
                <w:szCs w:val="21"/>
              </w:rPr>
              <w:t>…</w:t>
            </w:r>
          </w:p>
        </w:tc>
        <w:tc>
          <w:tcPr>
            <w:tcW w:w="855" w:type="dxa"/>
            <w:tcBorders>
              <w:tl2br w:val="nil"/>
              <w:tr2bl w:val="nil"/>
            </w:tcBorders>
            <w:shd w:val="clear" w:color="auto" w:fill="auto"/>
            <w:tcMar>
              <w:top w:w="0" w:type="dxa"/>
              <w:left w:w="105" w:type="dxa"/>
              <w:bottom w:w="0" w:type="dxa"/>
              <w:right w:w="105" w:type="dxa"/>
            </w:tcMar>
            <w:vAlign w:val="center"/>
          </w:tcPr>
          <w:p w14:paraId="15C5045A">
            <w:pPr>
              <w:keepNext w:val="0"/>
              <w:keepLines w:val="0"/>
              <w:widowControl/>
              <w:suppressLineNumbers w:val="0"/>
              <w:jc w:val="left"/>
            </w:pPr>
          </w:p>
        </w:tc>
        <w:tc>
          <w:tcPr>
            <w:tcW w:w="2970" w:type="dxa"/>
            <w:tcBorders>
              <w:tl2br w:val="nil"/>
              <w:tr2bl w:val="nil"/>
            </w:tcBorders>
            <w:shd w:val="clear" w:color="auto" w:fill="auto"/>
            <w:tcMar>
              <w:top w:w="0" w:type="dxa"/>
              <w:left w:w="105" w:type="dxa"/>
              <w:bottom w:w="0" w:type="dxa"/>
              <w:right w:w="105" w:type="dxa"/>
            </w:tcMar>
            <w:vAlign w:val="center"/>
          </w:tcPr>
          <w:p w14:paraId="2B4E9740">
            <w:pPr>
              <w:keepNext w:val="0"/>
              <w:keepLines w:val="0"/>
              <w:widowControl/>
              <w:suppressLineNumbers w:val="0"/>
              <w:jc w:val="left"/>
            </w:pPr>
          </w:p>
        </w:tc>
        <w:tc>
          <w:tcPr>
            <w:tcW w:w="1845" w:type="dxa"/>
            <w:tcBorders>
              <w:tl2br w:val="nil"/>
              <w:tr2bl w:val="nil"/>
            </w:tcBorders>
            <w:shd w:val="clear" w:color="auto" w:fill="auto"/>
            <w:tcMar>
              <w:top w:w="0" w:type="dxa"/>
              <w:left w:w="105" w:type="dxa"/>
              <w:bottom w:w="0" w:type="dxa"/>
              <w:right w:w="105" w:type="dxa"/>
            </w:tcMar>
            <w:vAlign w:val="center"/>
          </w:tcPr>
          <w:p w14:paraId="66BCF10D">
            <w:pPr>
              <w:keepNext w:val="0"/>
              <w:keepLines w:val="0"/>
              <w:widowControl/>
              <w:suppressLineNumbers w:val="0"/>
              <w:jc w:val="left"/>
            </w:pPr>
          </w:p>
        </w:tc>
        <w:tc>
          <w:tcPr>
            <w:tcW w:w="1890" w:type="dxa"/>
            <w:tcBorders>
              <w:tl2br w:val="nil"/>
              <w:tr2bl w:val="nil"/>
            </w:tcBorders>
            <w:shd w:val="clear" w:color="auto" w:fill="auto"/>
            <w:tcMar>
              <w:top w:w="0" w:type="dxa"/>
              <w:left w:w="105" w:type="dxa"/>
              <w:bottom w:w="0" w:type="dxa"/>
              <w:right w:w="105" w:type="dxa"/>
            </w:tcMar>
            <w:vAlign w:val="center"/>
          </w:tcPr>
          <w:p w14:paraId="7F3C2518">
            <w:pPr>
              <w:keepNext w:val="0"/>
              <w:keepLines w:val="0"/>
              <w:widowControl/>
              <w:suppressLineNumbers w:val="0"/>
              <w:jc w:val="left"/>
            </w:pPr>
          </w:p>
        </w:tc>
      </w:tr>
    </w:tbl>
    <w:p w14:paraId="01D26A4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★注意：</w:t>
      </w:r>
    </w:p>
    <w:p w14:paraId="5784FCC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1、本表应按照下列规定填写：</w:t>
      </w:r>
    </w:p>
    <w:p w14:paraId="7657A8A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1.1“商务条件”项下填写的内容应与招标文件第五章“商务条件”的内容保持一致。</w:t>
      </w:r>
    </w:p>
    <w:p w14:paraId="035B166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1.2“投标响应”项下应填写具体的响应内容并与“商务条件”项下填写的内容逐项对应；对“商务条件”项下涉及“≥或＞”、“≤或＜”及某个区间值范围内的内容，应填写具体的数值。</w:t>
      </w:r>
    </w:p>
    <w:p w14:paraId="1F6CA85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1.3“是否偏离及说明”项下应按下列规定填写：优于的，填写“正偏离”；符合的，填写“无偏离”；低于的，填写“负偏离”。</w:t>
      </w:r>
    </w:p>
    <w:p w14:paraId="59180EC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2、投标人需要说明的内容若需特殊表达，应先在本表中进行相应说明，再另页应答，否则</w:t>
      </w:r>
      <w:r>
        <w:rPr>
          <w:rStyle w:val="8"/>
          <w:rFonts w:hint="eastAsia" w:ascii="宋体" w:hAnsi="宋体" w:eastAsia="宋体" w:cs="宋体"/>
          <w:b/>
          <w:sz w:val="21"/>
          <w:szCs w:val="21"/>
        </w:rPr>
        <w:t>投标无效</w:t>
      </w:r>
      <w:r>
        <w:rPr>
          <w:rFonts w:hint="eastAsia" w:ascii="宋体" w:hAnsi="宋体" w:eastAsia="宋体" w:cs="宋体"/>
          <w:sz w:val="21"/>
          <w:szCs w:val="21"/>
        </w:rPr>
        <w:t>。</w:t>
      </w:r>
    </w:p>
    <w:p w14:paraId="2F4E8326">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3、纸质投标文件正本中的本表应为原件。</w:t>
      </w:r>
    </w:p>
    <w:p w14:paraId="2239BA0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6EEED45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4910166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w:t>
      </w:r>
      <w:r>
        <w:rPr>
          <w:rFonts w:hint="eastAsia" w:ascii="宋体" w:hAnsi="宋体" w:eastAsia="宋体" w:cs="宋体"/>
          <w:sz w:val="21"/>
          <w:szCs w:val="21"/>
          <w:u w:val="single"/>
        </w:rPr>
        <w:t>（全称并加盖单位公章）</w:t>
      </w:r>
    </w:p>
    <w:p w14:paraId="6CB1490E">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投标人代表签字：</w:t>
      </w:r>
      <w:r>
        <w:rPr>
          <w:rFonts w:hint="eastAsia" w:ascii="宋体" w:hAnsi="宋体" w:eastAsia="宋体" w:cs="宋体"/>
          <w:sz w:val="21"/>
          <w:szCs w:val="21"/>
          <w:u w:val="single"/>
        </w:rPr>
        <w:t>                   </w:t>
      </w:r>
    </w:p>
    <w:p w14:paraId="6CC7C6E8">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日期：</w:t>
      </w:r>
      <w:r>
        <w:rPr>
          <w:rFonts w:hint="eastAsia" w:ascii="宋体" w:hAnsi="宋体" w:eastAsia="宋体" w:cs="宋体"/>
          <w:sz w:val="21"/>
          <w:szCs w:val="21"/>
          <w:u w:val="single"/>
        </w:rPr>
        <w:t>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14:paraId="20DA10D0">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4416CD2">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7D263FA7">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r>
        <w:rPr>
          <w:rFonts w:hint="eastAsia" w:ascii="宋体" w:hAnsi="宋体" w:eastAsia="宋体" w:cs="宋体"/>
          <w:sz w:val="21"/>
          <w:szCs w:val="21"/>
        </w:rPr>
        <w:br w:type="textWrapping"/>
      </w:r>
    </w:p>
    <w:p w14:paraId="0D220E40">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46265824">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5A64C24C">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0B9500A9">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34262CBF">
      <w:pPr>
        <w:pStyle w:val="5"/>
        <w:keepNext w:val="0"/>
        <w:keepLines w:val="0"/>
        <w:widowControl/>
        <w:suppressLineNumbers w:val="0"/>
        <w:spacing w:before="0" w:beforeAutospacing="0" w:after="150" w:afterAutospacing="0"/>
        <w:ind w:left="0" w:right="0"/>
        <w:jc w:val="center"/>
        <w:rPr>
          <w:rFonts w:hint="eastAsia" w:ascii="宋体" w:hAnsi="宋体" w:eastAsia="宋体" w:cs="宋体"/>
          <w:sz w:val="21"/>
          <w:szCs w:val="21"/>
        </w:rPr>
      </w:pPr>
    </w:p>
    <w:p w14:paraId="7AD72954">
      <w:pPr>
        <w:pStyle w:val="5"/>
        <w:keepNext w:val="0"/>
        <w:keepLines w:val="0"/>
        <w:widowControl/>
        <w:suppressLineNumbers w:val="0"/>
        <w:spacing w:before="0" w:beforeAutospacing="0" w:after="150" w:afterAutospacing="0"/>
        <w:ind w:left="0" w:right="0"/>
        <w:jc w:val="center"/>
      </w:pPr>
      <w:r>
        <w:rPr>
          <w:rStyle w:val="8"/>
          <w:rFonts w:hint="eastAsia" w:ascii="宋体" w:hAnsi="宋体" w:eastAsia="宋体" w:cs="宋体"/>
          <w:b/>
          <w:sz w:val="21"/>
          <w:szCs w:val="21"/>
        </w:rPr>
        <w:t>四、投标人提交的其他资料（若有）</w:t>
      </w:r>
    </w:p>
    <w:p w14:paraId="530B61F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83C6E3C">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169B38F7">
      <w:pPr>
        <w:pStyle w:val="5"/>
        <w:keepNext w:val="0"/>
        <w:keepLines w:val="0"/>
        <w:widowControl/>
        <w:suppressLineNumbers w:val="0"/>
        <w:spacing w:before="0" w:beforeAutospacing="0" w:after="150" w:afterAutospacing="0"/>
        <w:ind w:left="0" w:right="0"/>
        <w:jc w:val="center"/>
      </w:pPr>
      <w:r>
        <w:rPr>
          <w:rFonts w:hint="eastAsia" w:ascii="宋体" w:hAnsi="宋体" w:eastAsia="宋体" w:cs="宋体"/>
          <w:sz w:val="21"/>
          <w:szCs w:val="21"/>
        </w:rPr>
        <w:t>编制说明</w:t>
      </w:r>
    </w:p>
    <w:p w14:paraId="15F2CA7B">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6D77C6F">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1、招标文件要求提交的除</w:t>
      </w:r>
      <w:r>
        <w:rPr>
          <w:rStyle w:val="8"/>
          <w:rFonts w:hint="eastAsia" w:ascii="宋体" w:hAnsi="宋体" w:eastAsia="宋体" w:cs="宋体"/>
          <w:b/>
          <w:sz w:val="21"/>
          <w:szCs w:val="21"/>
        </w:rPr>
        <w:t>“资格及资信证明部分”、“报价部分”</w:t>
      </w:r>
      <w:r>
        <w:rPr>
          <w:rFonts w:hint="eastAsia" w:ascii="宋体" w:hAnsi="宋体" w:eastAsia="宋体" w:cs="宋体"/>
          <w:sz w:val="21"/>
          <w:szCs w:val="21"/>
        </w:rPr>
        <w:t>外的其他证明材料或资料加盖投标人的单位公章后应在此项下提交。</w:t>
      </w:r>
    </w:p>
    <w:p w14:paraId="72F2CC21">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2、招标文件要求投标人提供方案（包括但不限于：组织、实施、技术、服务方案等）的，投标人应在此项下提交。</w:t>
      </w:r>
    </w:p>
    <w:p w14:paraId="57B2EF43">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3、除招标文件另有规定外，投标人认为需要提交的其他证明材料或资料加盖投标人的单位公章后应在此项下提交。</w:t>
      </w:r>
    </w:p>
    <w:p w14:paraId="11740E24">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588ADD25">
      <w:pPr>
        <w:pStyle w:val="5"/>
        <w:keepNext w:val="0"/>
        <w:keepLines w:val="0"/>
        <w:widowControl/>
        <w:suppressLineNumbers w:val="0"/>
        <w:spacing w:before="0" w:beforeAutospacing="0" w:after="150" w:afterAutospacing="0"/>
        <w:ind w:left="0" w:right="0"/>
      </w:pPr>
      <w:r>
        <w:rPr>
          <w:rFonts w:hint="eastAsia" w:ascii="宋体" w:hAnsi="宋体" w:eastAsia="宋体" w:cs="宋体"/>
          <w:sz w:val="21"/>
          <w:szCs w:val="21"/>
        </w:rPr>
        <w:t> </w:t>
      </w:r>
    </w:p>
    <w:p w14:paraId="20488F5D">
      <w:pPr>
        <w:pStyle w:val="5"/>
        <w:keepNext w:val="0"/>
        <w:keepLines w:val="0"/>
        <w:widowControl/>
        <w:suppressLineNumbers w:val="0"/>
        <w:spacing w:before="75" w:beforeAutospacing="0" w:after="75" w:afterAutospacing="0"/>
        <w:ind w:left="0" w:right="0" w:firstLine="0"/>
      </w:pPr>
      <w:r>
        <w:rPr>
          <w:rFonts w:hint="eastAsia" w:ascii="宋体" w:hAnsi="宋体" w:eastAsia="宋体" w:cs="宋体"/>
          <w:spacing w:val="0"/>
          <w:sz w:val="21"/>
          <w:szCs w:val="21"/>
        </w:rPr>
        <w:t> </w:t>
      </w:r>
    </w:p>
    <w:p w14:paraId="5EEB6A8E">
      <w:pPr>
        <w:pStyle w:val="2"/>
        <w:keepNext w:val="0"/>
        <w:keepLines w:val="0"/>
        <w:widowControl/>
        <w:suppressLineNumbers w:val="0"/>
        <w:shd w:val="clear" w:fill="FFFFFF"/>
        <w:spacing w:before="300" w:beforeAutospacing="0" w:after="150" w:afterAutospacing="0" w:line="17" w:lineRule="atLeast"/>
        <w:ind w:left="0" w:firstLine="0"/>
        <w:rPr>
          <w:rFonts w:ascii="Helvetica" w:hAnsi="Helvetica" w:eastAsia="Helvetica" w:cs="Helvetica"/>
          <w:b w:val="0"/>
          <w:i w:val="0"/>
          <w:caps w:val="0"/>
          <w:color w:val="393939"/>
          <w:spacing w:val="0"/>
          <w:sz w:val="33"/>
          <w:szCs w:val="33"/>
        </w:rPr>
      </w:pPr>
      <w:r>
        <w:rPr>
          <w:rFonts w:hint="default" w:ascii="Helvetica" w:hAnsi="Helvetica" w:eastAsia="Helvetica" w:cs="Helvetica"/>
          <w:b w:val="0"/>
          <w:i w:val="0"/>
          <w:caps w:val="0"/>
          <w:color w:val="393939"/>
          <w:spacing w:val="0"/>
          <w:sz w:val="33"/>
          <w:szCs w:val="33"/>
          <w:shd w:val="clear" w:fill="FFFFFF"/>
        </w:rPr>
        <w:t>采购文件相关附件</w:t>
      </w:r>
    </w:p>
    <w:p w14:paraId="0BB9924B"/>
    <w:sectPr>
      <w:footerReference r:id="rId3" w:type="default"/>
      <w:pgSz w:w="11906" w:h="16838"/>
      <w:pgMar w:top="1440" w:right="1800" w:bottom="1440" w:left="1800" w:header="851" w:footer="992" w:gutter="0"/>
      <w:pgBorders w:offsetFrom="page">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32383">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F355E2">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57F355E2">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C814D4"/>
    <w:rsid w:val="0B010640"/>
    <w:rsid w:val="11920D89"/>
    <w:rsid w:val="4A053EA9"/>
    <w:rsid w:val="58102A87"/>
    <w:rsid w:val="5EBF7A9F"/>
    <w:rsid w:val="61967B9A"/>
    <w:rsid w:val="68BE0E65"/>
    <w:rsid w:val="6DC814D4"/>
    <w:rsid w:val="761700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170</Pages>
  <Words>10920</Words>
  <Characters>11583</Characters>
  <Lines>0</Lines>
  <Paragraphs>0</Paragraphs>
  <TotalTime>0</TotalTime>
  <ScaleCrop>false</ScaleCrop>
  <LinksUpToDate>false</LinksUpToDate>
  <CharactersWithSpaces>11736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2019-07-05T08:31:00Z</dcterms:created>
  <dc:creator>Administrator</dc:creator>
  <cp:lastModifiedBy>admin001</cp:lastModifiedBy>
  <dcterms:modified xsi:type="dcterms:W3CDTF">2026-06-05T03:02:24Z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eyJoZGlkIjoiMDFiMTVhMWYwY2MzYzA2N2JkYWFjYjc3YzQ2ZmVkMTQiLCJ1c2VySWQiOiIxMjE3Nzg4ODk5In0=</vt:lpwstr>
  </property>
  <property fmtid="{D5CDD505-2E9C-101B-9397-08002B2CF9AE}" pid="4" name="ICV">
    <vt:lpwstr>4EBA1DDE753B49D18CB2B1DCC7CC788A_12</vt:lpwstr>
  </property>
</Properties>
</file>